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A00" w:rsidRDefault="00FB6A00" w:rsidP="00FB6A00">
      <w:pPr>
        <w:spacing w:after="160" w:line="259" w:lineRule="auto"/>
        <w:jc w:val="both"/>
        <w:rPr>
          <w:rFonts w:ascii="Times New Roman" w:eastAsiaTheme="minorHAnsi" w:hAnsi="Times New Roman" w:cs="Times New Roman"/>
          <w:b/>
          <w:bCs/>
          <w:sz w:val="24"/>
          <w:szCs w:val="24"/>
          <w:lang w:eastAsia="en-US" w:bidi="he-IL"/>
        </w:rPr>
      </w:pPr>
    </w:p>
    <w:p w:rsidR="00B36E4B" w:rsidRDefault="00B36E4B" w:rsidP="00FB6A00">
      <w:pPr>
        <w:spacing w:after="160" w:line="259" w:lineRule="auto"/>
        <w:jc w:val="both"/>
        <w:rPr>
          <w:rFonts w:ascii="Times New Roman" w:eastAsiaTheme="minorHAnsi" w:hAnsi="Times New Roman" w:cs="Times New Roman"/>
          <w:b/>
          <w:bCs/>
          <w:sz w:val="24"/>
          <w:szCs w:val="24"/>
          <w:lang w:eastAsia="en-US" w:bidi="he-IL"/>
        </w:rPr>
      </w:pPr>
    </w:p>
    <w:p w:rsidR="00542D98" w:rsidRDefault="00542D98" w:rsidP="00A67653">
      <w:pPr>
        <w:spacing w:after="160" w:line="259" w:lineRule="auto"/>
        <w:jc w:val="center"/>
        <w:rPr>
          <w:rFonts w:ascii="Times New Roman" w:eastAsiaTheme="minorHAnsi" w:hAnsi="Times New Roman" w:cs="Times New Roman"/>
          <w:b/>
          <w:bCs/>
          <w:sz w:val="24"/>
          <w:szCs w:val="24"/>
          <w:lang w:eastAsia="en-US" w:bidi="he-IL"/>
        </w:rPr>
      </w:pPr>
      <w:r w:rsidRPr="00542D98">
        <w:rPr>
          <w:rFonts w:ascii="Times New Roman" w:eastAsiaTheme="minorHAnsi" w:hAnsi="Times New Roman" w:cs="Times New Roman"/>
          <w:b/>
          <w:bCs/>
          <w:sz w:val="24"/>
          <w:szCs w:val="24"/>
          <w:lang w:eastAsia="en-US" w:bidi="he-IL"/>
        </w:rPr>
        <w:t>PROYECTO DE DECLARACIÓN</w:t>
      </w:r>
    </w:p>
    <w:p w:rsidR="004E5DD5" w:rsidRDefault="004E5DD5" w:rsidP="004E5DD5">
      <w:pPr>
        <w:spacing w:after="160" w:line="259" w:lineRule="auto"/>
        <w:jc w:val="center"/>
        <w:rPr>
          <w:rFonts w:ascii="Times New Roman" w:eastAsiaTheme="minorHAnsi" w:hAnsi="Times New Roman" w:cs="Times New Roman"/>
          <w:b/>
          <w:bCs/>
          <w:sz w:val="24"/>
          <w:szCs w:val="24"/>
          <w:lang w:eastAsia="en-US" w:bidi="he-IL"/>
        </w:rPr>
      </w:pPr>
    </w:p>
    <w:p w:rsidR="00B36E4B" w:rsidRPr="00542D98" w:rsidRDefault="00B36E4B" w:rsidP="004E5DD5">
      <w:pPr>
        <w:spacing w:after="160" w:line="259" w:lineRule="auto"/>
        <w:jc w:val="center"/>
        <w:rPr>
          <w:rFonts w:ascii="Times New Roman" w:eastAsiaTheme="minorHAnsi" w:hAnsi="Times New Roman" w:cs="Times New Roman"/>
          <w:b/>
          <w:bCs/>
          <w:sz w:val="24"/>
          <w:szCs w:val="24"/>
          <w:lang w:eastAsia="en-US" w:bidi="he-IL"/>
        </w:rPr>
      </w:pPr>
    </w:p>
    <w:p w:rsidR="00542D98" w:rsidRDefault="00542D98" w:rsidP="00FB6A00">
      <w:pPr>
        <w:spacing w:after="160" w:line="259" w:lineRule="auto"/>
        <w:jc w:val="both"/>
        <w:rPr>
          <w:rFonts w:ascii="Times New Roman" w:eastAsiaTheme="minorHAnsi" w:hAnsi="Times New Roman" w:cs="Times New Roman"/>
          <w:sz w:val="24"/>
          <w:szCs w:val="24"/>
          <w:lang w:eastAsia="en-US" w:bidi="he-IL"/>
        </w:rPr>
      </w:pPr>
      <w:r w:rsidRPr="00542D98">
        <w:rPr>
          <w:rFonts w:ascii="Times New Roman" w:eastAsiaTheme="minorHAnsi" w:hAnsi="Times New Roman" w:cs="Times New Roman"/>
          <w:b/>
          <w:bCs/>
          <w:sz w:val="24"/>
          <w:szCs w:val="24"/>
          <w:lang w:eastAsia="en-US" w:bidi="he-IL"/>
        </w:rPr>
        <w:t>Artículo 1°:</w:t>
      </w:r>
      <w:r w:rsidRPr="00542D98">
        <w:rPr>
          <w:rFonts w:ascii="Times New Roman" w:eastAsiaTheme="minorHAnsi" w:hAnsi="Times New Roman" w:cs="Times New Roman"/>
          <w:sz w:val="24"/>
          <w:szCs w:val="24"/>
          <w:lang w:eastAsia="en-US" w:bidi="he-IL"/>
        </w:rPr>
        <w:t xml:space="preserve"> Declárase d</w:t>
      </w:r>
      <w:r w:rsidR="00A939A3">
        <w:rPr>
          <w:rFonts w:ascii="Times New Roman" w:eastAsiaTheme="minorHAnsi" w:hAnsi="Times New Roman" w:cs="Times New Roman"/>
          <w:sz w:val="24"/>
          <w:szCs w:val="24"/>
          <w:lang w:eastAsia="en-US" w:bidi="he-IL"/>
        </w:rPr>
        <w:t xml:space="preserve">e interés </w:t>
      </w:r>
      <w:r w:rsidRPr="00542D98">
        <w:rPr>
          <w:rFonts w:ascii="Times New Roman" w:eastAsiaTheme="minorHAnsi" w:hAnsi="Times New Roman" w:cs="Times New Roman"/>
          <w:sz w:val="24"/>
          <w:szCs w:val="24"/>
          <w:lang w:eastAsia="en-US" w:bidi="he-IL"/>
        </w:rPr>
        <w:t xml:space="preserve">cultural para la Ciudad de Buenos Aires la </w:t>
      </w:r>
      <w:r w:rsidR="005B6493">
        <w:rPr>
          <w:rFonts w:ascii="Times New Roman" w:eastAsiaTheme="minorHAnsi" w:hAnsi="Times New Roman" w:cs="Times New Roman"/>
          <w:sz w:val="24"/>
          <w:szCs w:val="24"/>
          <w:lang w:eastAsia="en-US" w:bidi="he-IL"/>
        </w:rPr>
        <w:t xml:space="preserve">labor de la </w:t>
      </w:r>
      <w:r w:rsidRPr="00542D98">
        <w:rPr>
          <w:rFonts w:ascii="Times New Roman" w:eastAsiaTheme="minorHAnsi" w:hAnsi="Times New Roman" w:cs="Times New Roman"/>
          <w:sz w:val="24"/>
          <w:szCs w:val="24"/>
          <w:lang w:eastAsia="en-US" w:bidi="he-IL"/>
        </w:rPr>
        <w:t xml:space="preserve">cadena de librerías </w:t>
      </w:r>
      <w:r w:rsidR="00A016E3">
        <w:rPr>
          <w:rFonts w:ascii="Times New Roman" w:eastAsiaTheme="minorHAnsi" w:hAnsi="Times New Roman" w:cs="Times New Roman"/>
          <w:sz w:val="24"/>
          <w:szCs w:val="24"/>
          <w:lang w:eastAsia="en-US" w:bidi="he-IL"/>
        </w:rPr>
        <w:t>“</w:t>
      </w:r>
      <w:r w:rsidRPr="00542D98">
        <w:rPr>
          <w:rFonts w:ascii="Times New Roman" w:eastAsiaTheme="minorHAnsi" w:hAnsi="Times New Roman" w:cs="Times New Roman"/>
          <w:sz w:val="24"/>
          <w:szCs w:val="24"/>
          <w:lang w:eastAsia="en-US" w:bidi="he-IL"/>
        </w:rPr>
        <w:t>El Ateneo</w:t>
      </w:r>
      <w:r w:rsidR="00A016E3">
        <w:rPr>
          <w:rFonts w:ascii="Times New Roman" w:eastAsiaTheme="minorHAnsi" w:hAnsi="Times New Roman" w:cs="Times New Roman"/>
          <w:sz w:val="24"/>
          <w:szCs w:val="24"/>
          <w:lang w:eastAsia="en-US" w:bidi="he-IL"/>
        </w:rPr>
        <w:t>”</w:t>
      </w:r>
      <w:r w:rsidRPr="00542D98">
        <w:rPr>
          <w:rFonts w:ascii="Times New Roman" w:eastAsiaTheme="minorHAnsi" w:hAnsi="Times New Roman" w:cs="Times New Roman"/>
          <w:sz w:val="24"/>
          <w:szCs w:val="24"/>
          <w:lang w:eastAsia="en-US" w:bidi="he-IL"/>
        </w:rPr>
        <w:t>, que en 2022 cumple 110 años.</w:t>
      </w:r>
    </w:p>
    <w:p w:rsidR="00B0101C" w:rsidRPr="00542D98" w:rsidRDefault="00B0101C" w:rsidP="00FB6A00">
      <w:pPr>
        <w:spacing w:after="160" w:line="259" w:lineRule="auto"/>
        <w:jc w:val="both"/>
        <w:rPr>
          <w:rFonts w:ascii="Times New Roman" w:eastAsiaTheme="minorHAnsi" w:hAnsi="Times New Roman" w:cs="Times New Roman"/>
          <w:sz w:val="24"/>
          <w:szCs w:val="24"/>
          <w:lang w:eastAsia="en-US" w:bidi="he-IL"/>
        </w:rPr>
      </w:pPr>
    </w:p>
    <w:p w:rsidR="00542D98" w:rsidRPr="00542D98" w:rsidRDefault="00542D98" w:rsidP="00FB6A00">
      <w:pPr>
        <w:spacing w:after="160" w:line="259" w:lineRule="auto"/>
        <w:jc w:val="both"/>
        <w:rPr>
          <w:rFonts w:ascii="Times New Roman" w:eastAsiaTheme="minorHAnsi" w:hAnsi="Times New Roman" w:cs="Times New Roman"/>
          <w:sz w:val="24"/>
          <w:szCs w:val="24"/>
          <w:lang w:eastAsia="en-US" w:bidi="he-IL"/>
        </w:rPr>
      </w:pPr>
      <w:r w:rsidRPr="00542D98">
        <w:rPr>
          <w:rFonts w:ascii="Times New Roman" w:eastAsiaTheme="minorHAnsi" w:hAnsi="Times New Roman" w:cs="Times New Roman"/>
          <w:b/>
          <w:bCs/>
          <w:sz w:val="24"/>
          <w:szCs w:val="24"/>
          <w:lang w:eastAsia="en-US" w:bidi="he-IL"/>
        </w:rPr>
        <w:t>Artículo 2°:</w:t>
      </w:r>
      <w:r w:rsidRPr="00542D98">
        <w:rPr>
          <w:rFonts w:ascii="Times New Roman" w:eastAsiaTheme="minorHAnsi" w:hAnsi="Times New Roman" w:cs="Times New Roman"/>
          <w:sz w:val="24"/>
          <w:szCs w:val="24"/>
          <w:lang w:eastAsia="en-US" w:bidi="he-IL"/>
        </w:rPr>
        <w:t xml:space="preserve"> Comuníquese, etc.</w:t>
      </w:r>
    </w:p>
    <w:p w:rsidR="00542D98" w:rsidRDefault="00542D98"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B0101C" w:rsidRDefault="00B0101C" w:rsidP="00FB6A00">
      <w:pPr>
        <w:spacing w:after="160" w:line="259" w:lineRule="auto"/>
        <w:jc w:val="both"/>
        <w:rPr>
          <w:rFonts w:ascii="Times New Roman" w:eastAsiaTheme="minorHAnsi" w:hAnsi="Times New Roman" w:cs="Times New Roman"/>
          <w:sz w:val="24"/>
          <w:szCs w:val="24"/>
          <w:lang w:eastAsia="en-US" w:bidi="he-IL"/>
        </w:rPr>
      </w:pPr>
    </w:p>
    <w:p w:rsidR="005512A7" w:rsidRDefault="005512A7" w:rsidP="00FB6A00">
      <w:pPr>
        <w:spacing w:after="160" w:line="259" w:lineRule="auto"/>
        <w:jc w:val="both"/>
        <w:rPr>
          <w:rFonts w:ascii="Times New Roman" w:eastAsiaTheme="minorHAnsi" w:hAnsi="Times New Roman" w:cs="Times New Roman"/>
          <w:sz w:val="24"/>
          <w:szCs w:val="24"/>
          <w:lang w:eastAsia="en-US" w:bidi="he-IL"/>
        </w:rPr>
      </w:pPr>
    </w:p>
    <w:p w:rsidR="00E836EE" w:rsidRPr="00542D98" w:rsidRDefault="00E836EE" w:rsidP="00FB6A00">
      <w:pPr>
        <w:spacing w:after="160" w:line="259" w:lineRule="auto"/>
        <w:jc w:val="both"/>
        <w:rPr>
          <w:rFonts w:ascii="Times New Roman" w:eastAsiaTheme="minorHAnsi" w:hAnsi="Times New Roman" w:cs="Times New Roman"/>
          <w:sz w:val="24"/>
          <w:szCs w:val="24"/>
          <w:lang w:eastAsia="en-US" w:bidi="he-IL"/>
        </w:rPr>
      </w:pPr>
    </w:p>
    <w:p w:rsidR="00A67653" w:rsidRDefault="00A67653" w:rsidP="00D860F4">
      <w:pPr>
        <w:spacing w:after="160" w:line="259" w:lineRule="auto"/>
        <w:jc w:val="center"/>
        <w:rPr>
          <w:rFonts w:ascii="Times New Roman" w:eastAsiaTheme="minorHAnsi" w:hAnsi="Times New Roman" w:cs="Times New Roman"/>
          <w:b/>
          <w:bCs/>
          <w:sz w:val="24"/>
          <w:szCs w:val="24"/>
          <w:lang w:eastAsia="en-US" w:bidi="he-IL"/>
        </w:rPr>
      </w:pPr>
      <w:bookmarkStart w:id="0" w:name="_Hlk117087368"/>
    </w:p>
    <w:p w:rsidR="00A67653" w:rsidRDefault="00A67653" w:rsidP="00D860F4">
      <w:pPr>
        <w:spacing w:after="160" w:line="259" w:lineRule="auto"/>
        <w:jc w:val="center"/>
        <w:rPr>
          <w:rFonts w:ascii="Times New Roman" w:eastAsiaTheme="minorHAnsi" w:hAnsi="Times New Roman" w:cs="Times New Roman"/>
          <w:b/>
          <w:bCs/>
          <w:sz w:val="24"/>
          <w:szCs w:val="24"/>
          <w:lang w:eastAsia="en-US" w:bidi="he-IL"/>
        </w:rPr>
      </w:pPr>
    </w:p>
    <w:p w:rsidR="00A67653" w:rsidRDefault="00A67653" w:rsidP="00D860F4">
      <w:pPr>
        <w:spacing w:after="160" w:line="259" w:lineRule="auto"/>
        <w:jc w:val="center"/>
        <w:rPr>
          <w:rFonts w:ascii="Times New Roman" w:eastAsiaTheme="minorHAnsi" w:hAnsi="Times New Roman" w:cs="Times New Roman"/>
          <w:b/>
          <w:bCs/>
          <w:sz w:val="24"/>
          <w:szCs w:val="24"/>
          <w:lang w:eastAsia="en-US" w:bidi="he-IL"/>
        </w:rPr>
      </w:pPr>
    </w:p>
    <w:p w:rsidR="00A67653" w:rsidRDefault="00A67653" w:rsidP="00D860F4">
      <w:pPr>
        <w:spacing w:after="160" w:line="259" w:lineRule="auto"/>
        <w:jc w:val="center"/>
        <w:rPr>
          <w:rFonts w:ascii="Times New Roman" w:eastAsiaTheme="minorHAnsi" w:hAnsi="Times New Roman" w:cs="Times New Roman"/>
          <w:b/>
          <w:bCs/>
          <w:sz w:val="24"/>
          <w:szCs w:val="24"/>
          <w:lang w:eastAsia="en-US" w:bidi="he-IL"/>
        </w:rPr>
      </w:pPr>
    </w:p>
    <w:p w:rsidR="00542D98" w:rsidRPr="00542D98" w:rsidRDefault="00542D98" w:rsidP="00D860F4">
      <w:pPr>
        <w:spacing w:after="160" w:line="259" w:lineRule="auto"/>
        <w:jc w:val="center"/>
        <w:rPr>
          <w:rFonts w:ascii="Times New Roman" w:eastAsiaTheme="minorHAnsi" w:hAnsi="Times New Roman" w:cs="Times New Roman"/>
          <w:b/>
          <w:bCs/>
          <w:sz w:val="24"/>
          <w:szCs w:val="24"/>
          <w:lang w:eastAsia="en-US" w:bidi="he-IL"/>
        </w:rPr>
      </w:pPr>
      <w:r w:rsidRPr="00542D98">
        <w:rPr>
          <w:rFonts w:ascii="Times New Roman" w:eastAsiaTheme="minorHAnsi" w:hAnsi="Times New Roman" w:cs="Times New Roman"/>
          <w:b/>
          <w:bCs/>
          <w:sz w:val="24"/>
          <w:szCs w:val="24"/>
          <w:lang w:eastAsia="en-US" w:bidi="he-IL"/>
        </w:rPr>
        <w:t>FUNDAMENTOS</w:t>
      </w:r>
    </w:p>
    <w:p w:rsidR="00A67653" w:rsidRDefault="00A67653" w:rsidP="00FB6A00">
      <w:pPr>
        <w:spacing w:after="160" w:line="259" w:lineRule="auto"/>
        <w:jc w:val="both"/>
        <w:rPr>
          <w:rFonts w:ascii="Times New Roman" w:eastAsiaTheme="minorHAnsi" w:hAnsi="Times New Roman" w:cs="Times New Roman"/>
          <w:sz w:val="24"/>
          <w:szCs w:val="24"/>
          <w:lang w:eastAsia="en-US" w:bidi="he-IL"/>
        </w:rPr>
      </w:pPr>
    </w:p>
    <w:p w:rsidR="00D860F4" w:rsidRPr="00542D98" w:rsidRDefault="00542D98" w:rsidP="00FB6A00">
      <w:pPr>
        <w:spacing w:after="160" w:line="259" w:lineRule="auto"/>
        <w:jc w:val="both"/>
        <w:rPr>
          <w:rFonts w:ascii="Times New Roman" w:eastAsiaTheme="minorHAnsi" w:hAnsi="Times New Roman" w:cs="Times New Roman"/>
          <w:sz w:val="24"/>
          <w:szCs w:val="24"/>
          <w:lang w:eastAsia="en-US" w:bidi="he-IL"/>
        </w:rPr>
      </w:pPr>
      <w:r w:rsidRPr="00542D98">
        <w:rPr>
          <w:rFonts w:ascii="Times New Roman" w:eastAsiaTheme="minorHAnsi" w:hAnsi="Times New Roman" w:cs="Times New Roman"/>
          <w:sz w:val="24"/>
          <w:szCs w:val="24"/>
          <w:lang w:eastAsia="en-US" w:bidi="he-IL"/>
        </w:rPr>
        <w:t>Señor presidente:</w:t>
      </w:r>
    </w:p>
    <w:p w:rsidR="00542D98" w:rsidRPr="00542D98" w:rsidRDefault="00542D98" w:rsidP="00D860F4">
      <w:pPr>
        <w:spacing w:after="160" w:line="259" w:lineRule="auto"/>
        <w:ind w:firstLine="708"/>
        <w:jc w:val="both"/>
        <w:rPr>
          <w:rFonts w:ascii="Times New Roman" w:eastAsiaTheme="minorHAnsi" w:hAnsi="Times New Roman" w:cs="Times New Roman"/>
          <w:sz w:val="24"/>
          <w:szCs w:val="24"/>
          <w:lang w:eastAsia="en-US" w:bidi="he-IL"/>
        </w:rPr>
      </w:pPr>
      <w:r w:rsidRPr="00542D98">
        <w:rPr>
          <w:rFonts w:ascii="Times New Roman" w:eastAsiaTheme="minorHAnsi" w:hAnsi="Times New Roman" w:cs="Times New Roman"/>
          <w:sz w:val="24"/>
          <w:szCs w:val="24"/>
          <w:lang w:eastAsia="en-US" w:bidi="he-IL"/>
        </w:rPr>
        <w:t xml:space="preserve">Este 2022, la cadena de librerías El Ateneo cumple 110 años en la Ciudad de Buenos Aires. El primer local se inauguró en 1912, en pleno centro porteño, en la calle Victoria 653, hoy Hipólito Yrigoyen, entre Perú y Chacabuco. Fundada por el inmigrante español Pedro García, la marca también incluyó desde un principio su propia editorial. </w:t>
      </w:r>
    </w:p>
    <w:p w:rsidR="00542D98" w:rsidRPr="00542D98" w:rsidRDefault="00542D98" w:rsidP="00D860F4">
      <w:pPr>
        <w:spacing w:after="160" w:line="259" w:lineRule="auto"/>
        <w:ind w:firstLine="708"/>
        <w:jc w:val="both"/>
        <w:rPr>
          <w:rFonts w:ascii="Times New Roman" w:eastAsiaTheme="minorHAnsi" w:hAnsi="Times New Roman" w:cs="Times New Roman"/>
          <w:sz w:val="24"/>
          <w:szCs w:val="24"/>
          <w:lang w:eastAsia="en-US" w:bidi="he-IL"/>
        </w:rPr>
      </w:pPr>
      <w:r w:rsidRPr="00542D98">
        <w:rPr>
          <w:rFonts w:ascii="Times New Roman" w:eastAsiaTheme="minorHAnsi" w:hAnsi="Times New Roman" w:cs="Times New Roman"/>
          <w:sz w:val="24"/>
          <w:szCs w:val="24"/>
          <w:lang w:eastAsia="en-US" w:bidi="he-IL"/>
        </w:rPr>
        <w:t xml:space="preserve">En 1917, el local se mudó a Florida 371; en 1932 se abrió otra sucursal en </w:t>
      </w:r>
      <w:r w:rsidR="003E07E0">
        <w:rPr>
          <w:rFonts w:ascii="Times New Roman" w:eastAsiaTheme="minorHAnsi" w:hAnsi="Times New Roman" w:cs="Times New Roman"/>
          <w:sz w:val="24"/>
          <w:szCs w:val="24"/>
          <w:lang w:eastAsia="en-US" w:bidi="he-IL"/>
        </w:rPr>
        <w:t xml:space="preserve">Avenida </w:t>
      </w:r>
      <w:r w:rsidRPr="00542D98">
        <w:rPr>
          <w:rFonts w:ascii="Times New Roman" w:eastAsiaTheme="minorHAnsi" w:hAnsi="Times New Roman" w:cs="Times New Roman"/>
          <w:sz w:val="24"/>
          <w:szCs w:val="24"/>
          <w:lang w:eastAsia="en-US" w:bidi="he-IL"/>
        </w:rPr>
        <w:t xml:space="preserve">Córdoba 2099, frente a la Facultad de Medicina, donde ofrecía un importante catálogo de esa especialidad. </w:t>
      </w:r>
    </w:p>
    <w:p w:rsidR="00542D98" w:rsidRPr="00542D98" w:rsidRDefault="00542D98" w:rsidP="00D860F4">
      <w:pPr>
        <w:spacing w:after="160" w:line="259" w:lineRule="auto"/>
        <w:ind w:firstLine="708"/>
        <w:jc w:val="both"/>
        <w:rPr>
          <w:rFonts w:ascii="Times New Roman" w:eastAsiaTheme="minorHAnsi" w:hAnsi="Times New Roman" w:cs="Times New Roman"/>
          <w:sz w:val="24"/>
          <w:szCs w:val="24"/>
          <w:lang w:eastAsia="en-US" w:bidi="he-IL"/>
        </w:rPr>
      </w:pPr>
      <w:r w:rsidRPr="00542D98">
        <w:rPr>
          <w:rFonts w:ascii="Times New Roman" w:eastAsiaTheme="minorHAnsi" w:hAnsi="Times New Roman" w:cs="Times New Roman"/>
          <w:sz w:val="24"/>
          <w:szCs w:val="24"/>
          <w:lang w:eastAsia="en-US" w:bidi="he-IL"/>
        </w:rPr>
        <w:t>A</w:t>
      </w:r>
      <w:r w:rsidR="00B72697">
        <w:rPr>
          <w:rFonts w:ascii="Times New Roman" w:eastAsiaTheme="minorHAnsi" w:hAnsi="Times New Roman" w:cs="Times New Roman"/>
          <w:sz w:val="24"/>
          <w:szCs w:val="24"/>
          <w:lang w:eastAsia="en-US" w:bidi="he-IL"/>
        </w:rPr>
        <w:t>ños más tarde</w:t>
      </w:r>
      <w:r w:rsidRPr="00542D98">
        <w:rPr>
          <w:rFonts w:ascii="Times New Roman" w:eastAsiaTheme="minorHAnsi" w:hAnsi="Times New Roman" w:cs="Times New Roman"/>
          <w:sz w:val="24"/>
          <w:szCs w:val="24"/>
          <w:lang w:eastAsia="en-US" w:bidi="he-IL"/>
        </w:rPr>
        <w:t>, en 1938, El Ateneo de la calle Florida se trasladó al tradicional edificio de Florida 340, de cuatro plantas, donde continúa hasta hoy y cuenta incluso con un auditorio con capacidad para 130 personas y una cafetería.</w:t>
      </w:r>
    </w:p>
    <w:p w:rsidR="00542D98" w:rsidRPr="00542D98" w:rsidRDefault="00542D98" w:rsidP="00D860F4">
      <w:pPr>
        <w:spacing w:after="160" w:line="259" w:lineRule="auto"/>
        <w:ind w:firstLine="708"/>
        <w:jc w:val="both"/>
        <w:rPr>
          <w:rFonts w:ascii="Times New Roman" w:eastAsiaTheme="minorHAnsi" w:hAnsi="Times New Roman" w:cs="Times New Roman"/>
          <w:sz w:val="24"/>
          <w:szCs w:val="24"/>
          <w:lang w:eastAsia="en-US" w:bidi="he-IL"/>
        </w:rPr>
      </w:pPr>
      <w:r w:rsidRPr="00542D98">
        <w:rPr>
          <w:rFonts w:ascii="Times New Roman" w:eastAsiaTheme="minorHAnsi" w:hAnsi="Times New Roman" w:cs="Times New Roman"/>
          <w:sz w:val="24"/>
          <w:szCs w:val="24"/>
          <w:lang w:eastAsia="en-US" w:bidi="he-IL"/>
        </w:rPr>
        <w:t>Más allá de la venta de ejemplares, la vida cultural de este local fue muy rica desde el primer momento: cantidad de autores de renombre se reunieron en Florida 340 durante las Peñas de Escritores, luego llamadas Peñas de la Amistad. Eran habitués de la librería Manuel Mujica Láinez, Jorge Luis Borges, Eduardo Mallea, Horacio Quiroga, Victoria Ocampo, Julián Centeya, Conrado Nalé Roxlo, Leopoldo Marechal, Martha Lynch, Ezequiel Martínez Estrada, Roberto Giusti, María Elena Walsh, Juan Filloy y Héctor A. Murena, entre otros.</w:t>
      </w:r>
    </w:p>
    <w:p w:rsidR="00542D98" w:rsidRPr="00542D98" w:rsidRDefault="00542D98" w:rsidP="00D860F4">
      <w:pPr>
        <w:spacing w:after="160" w:line="259" w:lineRule="auto"/>
        <w:ind w:firstLine="708"/>
        <w:jc w:val="both"/>
        <w:rPr>
          <w:rFonts w:ascii="Times New Roman" w:eastAsiaTheme="minorHAnsi" w:hAnsi="Times New Roman" w:cs="Times New Roman"/>
          <w:sz w:val="24"/>
          <w:szCs w:val="24"/>
          <w:lang w:eastAsia="en-US" w:bidi="he-IL"/>
        </w:rPr>
      </w:pPr>
      <w:r w:rsidRPr="00542D98">
        <w:rPr>
          <w:rFonts w:ascii="Times New Roman" w:eastAsiaTheme="minorHAnsi" w:hAnsi="Times New Roman" w:cs="Times New Roman"/>
          <w:sz w:val="24"/>
          <w:szCs w:val="24"/>
          <w:lang w:eastAsia="en-US" w:bidi="he-IL"/>
        </w:rPr>
        <w:t xml:space="preserve">En 1998, Grupo Ilhsa (también dueños de la cadena de librerías Yenny) adquirió la firma y dos años más tarde sumó </w:t>
      </w:r>
      <w:r w:rsidR="00A016E3">
        <w:rPr>
          <w:rFonts w:ascii="Times New Roman" w:eastAsiaTheme="minorHAnsi" w:hAnsi="Times New Roman" w:cs="Times New Roman"/>
          <w:sz w:val="24"/>
          <w:szCs w:val="24"/>
          <w:lang w:eastAsia="en-US" w:bidi="he-IL"/>
        </w:rPr>
        <w:t>“</w:t>
      </w:r>
      <w:r w:rsidRPr="00542D98">
        <w:rPr>
          <w:rFonts w:ascii="Times New Roman" w:eastAsiaTheme="minorHAnsi" w:hAnsi="Times New Roman" w:cs="Times New Roman"/>
          <w:sz w:val="24"/>
          <w:szCs w:val="24"/>
          <w:lang w:eastAsia="en-US" w:bidi="he-IL"/>
        </w:rPr>
        <w:t>El Ateneo Grand Splendid</w:t>
      </w:r>
      <w:r w:rsidR="00A016E3">
        <w:rPr>
          <w:rFonts w:ascii="Times New Roman" w:eastAsiaTheme="minorHAnsi" w:hAnsi="Times New Roman" w:cs="Times New Roman"/>
          <w:sz w:val="24"/>
          <w:szCs w:val="24"/>
          <w:lang w:eastAsia="en-US" w:bidi="he-IL"/>
        </w:rPr>
        <w:t>”</w:t>
      </w:r>
      <w:r w:rsidRPr="00542D98">
        <w:rPr>
          <w:rFonts w:ascii="Times New Roman" w:eastAsiaTheme="minorHAnsi" w:hAnsi="Times New Roman" w:cs="Times New Roman"/>
          <w:sz w:val="24"/>
          <w:szCs w:val="24"/>
          <w:lang w:eastAsia="en-US" w:bidi="he-IL"/>
        </w:rPr>
        <w:t xml:space="preserve">, en </w:t>
      </w:r>
      <w:r w:rsidR="002A054B">
        <w:rPr>
          <w:rFonts w:ascii="Times New Roman" w:eastAsiaTheme="minorHAnsi" w:hAnsi="Times New Roman" w:cs="Times New Roman"/>
          <w:sz w:val="24"/>
          <w:szCs w:val="24"/>
          <w:lang w:eastAsia="en-US" w:bidi="he-IL"/>
        </w:rPr>
        <w:t xml:space="preserve">Avenida </w:t>
      </w:r>
      <w:r w:rsidRPr="00542D98">
        <w:rPr>
          <w:rFonts w:ascii="Times New Roman" w:eastAsiaTheme="minorHAnsi" w:hAnsi="Times New Roman" w:cs="Times New Roman"/>
          <w:sz w:val="24"/>
          <w:szCs w:val="24"/>
          <w:lang w:eastAsia="en-US" w:bidi="he-IL"/>
        </w:rPr>
        <w:t xml:space="preserve">Santa Fe 1860, conservando la estructura del viejo cine teatro Grand Splendid, inaugurado en 1923. Con una cafetería ubicada en el antiguo escenario, sillones y palcos para sentarse a hojear los libros sin obligación de compra, la experiencia que ofrece es singular. </w:t>
      </w:r>
    </w:p>
    <w:p w:rsidR="00542D98" w:rsidRPr="00542D98" w:rsidRDefault="00542D98" w:rsidP="00D860F4">
      <w:pPr>
        <w:spacing w:after="160" w:line="259" w:lineRule="auto"/>
        <w:ind w:firstLine="708"/>
        <w:jc w:val="both"/>
        <w:rPr>
          <w:rFonts w:ascii="Times New Roman" w:eastAsiaTheme="minorHAnsi" w:hAnsi="Times New Roman" w:cs="Times New Roman"/>
          <w:sz w:val="24"/>
          <w:szCs w:val="24"/>
          <w:lang w:eastAsia="en-US" w:bidi="he-IL"/>
        </w:rPr>
      </w:pPr>
      <w:r w:rsidRPr="00542D98">
        <w:rPr>
          <w:rFonts w:ascii="Times New Roman" w:eastAsiaTheme="minorHAnsi" w:hAnsi="Times New Roman" w:cs="Times New Roman"/>
          <w:sz w:val="24"/>
          <w:szCs w:val="24"/>
          <w:lang w:eastAsia="en-US" w:bidi="he-IL"/>
        </w:rPr>
        <w:t xml:space="preserve">El Ateneo Grand Splendid es considerada una de las librerías más importantes del mundo, tanto por su diseño arquitectónico como por su variedad de artículos. En 2019, la publicación National Geographic la consideró “la librería más hermosa del mundo”: </w:t>
      </w:r>
    </w:p>
    <w:p w:rsidR="00542D98" w:rsidRPr="00542D98" w:rsidRDefault="008B27F8" w:rsidP="00FB6A00">
      <w:pPr>
        <w:spacing w:after="160" w:line="259" w:lineRule="auto"/>
        <w:jc w:val="both"/>
        <w:rPr>
          <w:rFonts w:ascii="Times New Roman" w:eastAsiaTheme="minorHAnsi" w:hAnsi="Times New Roman" w:cs="Times New Roman"/>
          <w:sz w:val="24"/>
          <w:szCs w:val="24"/>
          <w:lang w:eastAsia="en-US" w:bidi="he-IL"/>
        </w:rPr>
      </w:pPr>
      <w:hyperlink r:id="rId6" w:history="1">
        <w:r w:rsidR="00542D98" w:rsidRPr="00542D98">
          <w:rPr>
            <w:rFonts w:ascii="Times New Roman" w:eastAsiaTheme="minorHAnsi" w:hAnsi="Times New Roman" w:cs="Times New Roman"/>
            <w:color w:val="0563C1" w:themeColor="hyperlink"/>
            <w:sz w:val="24"/>
            <w:szCs w:val="24"/>
            <w:u w:val="single"/>
            <w:lang w:eastAsia="en-US" w:bidi="he-IL"/>
          </w:rPr>
          <w:t>https://www.nationalgeographic.com/travel/article/things-to-see-beautiful-bookshop</w:t>
        </w:r>
      </w:hyperlink>
    </w:p>
    <w:p w:rsidR="00E065BE" w:rsidRDefault="00542D98" w:rsidP="00D860F4">
      <w:pPr>
        <w:spacing w:after="160" w:line="259" w:lineRule="auto"/>
        <w:ind w:firstLine="708"/>
        <w:jc w:val="both"/>
        <w:rPr>
          <w:rFonts w:ascii="Times New Roman" w:eastAsiaTheme="minorHAnsi" w:hAnsi="Times New Roman" w:cs="Times New Roman"/>
          <w:sz w:val="24"/>
          <w:szCs w:val="24"/>
          <w:lang w:eastAsia="en-US" w:bidi="he-IL"/>
        </w:rPr>
      </w:pPr>
      <w:r w:rsidRPr="00542D98">
        <w:rPr>
          <w:rFonts w:ascii="Times New Roman" w:eastAsiaTheme="minorHAnsi" w:hAnsi="Times New Roman" w:cs="Times New Roman"/>
          <w:sz w:val="24"/>
          <w:szCs w:val="24"/>
          <w:lang w:eastAsia="en-US" w:bidi="he-IL"/>
        </w:rPr>
        <w:t>En 2008, El Ateneo Grand Splendid se ubicó segunda en el ranking de las diez librerías más importantes del mundo, del periódico británico The Guardian:</w:t>
      </w:r>
    </w:p>
    <w:p w:rsidR="00542D98" w:rsidRPr="00542D98" w:rsidRDefault="008B27F8" w:rsidP="00D860F4">
      <w:pPr>
        <w:spacing w:after="160" w:line="259" w:lineRule="auto"/>
        <w:ind w:firstLine="708"/>
        <w:jc w:val="both"/>
        <w:rPr>
          <w:rFonts w:ascii="Times New Roman" w:eastAsiaTheme="minorHAnsi" w:hAnsi="Times New Roman" w:cs="Times New Roman"/>
          <w:sz w:val="24"/>
          <w:szCs w:val="24"/>
          <w:lang w:eastAsia="en-US" w:bidi="he-IL"/>
        </w:rPr>
      </w:pPr>
      <w:hyperlink r:id="rId7" w:history="1">
        <w:r w:rsidR="00542D98" w:rsidRPr="00542D98">
          <w:rPr>
            <w:rFonts w:ascii="Times New Roman" w:eastAsiaTheme="minorHAnsi" w:hAnsi="Times New Roman" w:cs="Times New Roman"/>
            <w:color w:val="0563C1" w:themeColor="hyperlink"/>
            <w:sz w:val="24"/>
            <w:szCs w:val="24"/>
            <w:u w:val="single"/>
            <w:lang w:eastAsia="en-US" w:bidi="he-IL"/>
          </w:rPr>
          <w:t>https://web.archive.org/web/20171014235249/http://www.lanacion.com.ar/979452-el-ateneo-grand-splendid-una-joya-entre-las-librerias-del-mundo</w:t>
        </w:r>
      </w:hyperlink>
    </w:p>
    <w:p w:rsidR="00542D98" w:rsidRPr="00542D98" w:rsidRDefault="00542D98" w:rsidP="00D860F4">
      <w:pPr>
        <w:spacing w:after="160" w:line="259" w:lineRule="auto"/>
        <w:ind w:firstLine="708"/>
        <w:jc w:val="both"/>
        <w:rPr>
          <w:rFonts w:ascii="Times New Roman" w:eastAsiaTheme="minorHAnsi" w:hAnsi="Times New Roman" w:cs="Times New Roman"/>
          <w:sz w:val="24"/>
          <w:szCs w:val="24"/>
          <w:lang w:eastAsia="en-US" w:bidi="he-IL"/>
        </w:rPr>
      </w:pPr>
      <w:r w:rsidRPr="00542D98">
        <w:rPr>
          <w:rFonts w:ascii="Times New Roman" w:eastAsiaTheme="minorHAnsi" w:hAnsi="Times New Roman" w:cs="Times New Roman"/>
          <w:sz w:val="24"/>
          <w:szCs w:val="24"/>
          <w:lang w:eastAsia="en-US" w:bidi="he-IL"/>
        </w:rPr>
        <w:t>Hoy, la cadena El Ateneo cuenta con ocho locales en todo el país. En Buenos Aires son cuatro: además de Florida 340 y Santa Fe 1860, están en Florida 632 y en la esquina de Cabildo y Juramento. En el resto del país, hay locales en La Plata, San Miguel de Tucumán, Rosario y Córdoba.</w:t>
      </w:r>
    </w:p>
    <w:p w:rsidR="00542D98" w:rsidRPr="00542D98" w:rsidRDefault="00542D98" w:rsidP="00B926F7">
      <w:pPr>
        <w:spacing w:after="160" w:line="259" w:lineRule="auto"/>
        <w:ind w:firstLine="708"/>
        <w:jc w:val="both"/>
        <w:rPr>
          <w:rFonts w:ascii="Times New Roman" w:eastAsiaTheme="minorHAnsi" w:hAnsi="Times New Roman" w:cs="Times New Roman"/>
          <w:sz w:val="24"/>
          <w:szCs w:val="24"/>
          <w:lang w:eastAsia="en-US" w:bidi="he-IL"/>
        </w:rPr>
      </w:pPr>
      <w:r w:rsidRPr="00542D98">
        <w:rPr>
          <w:rFonts w:ascii="Times New Roman" w:eastAsiaTheme="minorHAnsi" w:hAnsi="Times New Roman" w:cs="Times New Roman"/>
          <w:sz w:val="24"/>
          <w:szCs w:val="24"/>
          <w:lang w:eastAsia="en-US" w:bidi="he-IL"/>
        </w:rPr>
        <w:t xml:space="preserve">“Lo que ha distinguido desde el comienzo </w:t>
      </w:r>
      <w:r w:rsidR="00B72697">
        <w:rPr>
          <w:rFonts w:ascii="Times New Roman" w:eastAsiaTheme="minorHAnsi" w:hAnsi="Times New Roman" w:cs="Times New Roman"/>
          <w:sz w:val="24"/>
          <w:szCs w:val="24"/>
          <w:lang w:eastAsia="en-US" w:bidi="he-IL"/>
        </w:rPr>
        <w:t xml:space="preserve">a </w:t>
      </w:r>
      <w:r w:rsidRPr="00542D98">
        <w:rPr>
          <w:rFonts w:ascii="Times New Roman" w:eastAsiaTheme="minorHAnsi" w:hAnsi="Times New Roman" w:cs="Times New Roman"/>
          <w:sz w:val="24"/>
          <w:szCs w:val="24"/>
          <w:lang w:eastAsia="en-US" w:bidi="he-IL"/>
        </w:rPr>
        <w:t xml:space="preserve">los locales de El Ateneo y se mantiene hasta hoy, como una marca, es que no se trata solo de vender libros, sino de que el libro funcione como un instrumento de reunión y que las librerías se conviertan en un espacio cultural y de intercambio”, indica Adolfo de Vincenzi, CEO de Grupo Ilhsa.  </w:t>
      </w:r>
    </w:p>
    <w:p w:rsidR="00542D98" w:rsidRPr="00542D98" w:rsidRDefault="00542D98" w:rsidP="00B926F7">
      <w:pPr>
        <w:spacing w:after="160" w:line="259" w:lineRule="auto"/>
        <w:ind w:firstLine="708"/>
        <w:jc w:val="both"/>
        <w:rPr>
          <w:rFonts w:ascii="Times New Roman" w:eastAsiaTheme="minorHAnsi" w:hAnsi="Times New Roman" w:cs="Times New Roman"/>
          <w:sz w:val="24"/>
          <w:szCs w:val="24"/>
          <w:lang w:eastAsia="en-US" w:bidi="he-IL"/>
        </w:rPr>
      </w:pPr>
      <w:r w:rsidRPr="00542D98">
        <w:rPr>
          <w:rFonts w:ascii="Times New Roman" w:eastAsiaTheme="minorHAnsi" w:hAnsi="Times New Roman" w:cs="Times New Roman"/>
          <w:sz w:val="24"/>
          <w:szCs w:val="24"/>
          <w:lang w:eastAsia="en-US" w:bidi="he-IL"/>
        </w:rPr>
        <w:t xml:space="preserve">Durante estos 110 años, es extensa la lista de actividades culturales que se han desarrollado en las sucursales de El Ateneo: conferencias, recitales, mesas redondas, debates, presentaciones y firmas de libros. Pero mucho más extensa es la lista de figuras de renombre que han participado: desde Ernesto Sabato hasta Soda Stereo; desde Quino hasta Hebe Uhart, pasando por Rosa Montero, Slavoj Žižek, Mario Benedetti, Mario Vargas Llosa, León Gieco, Les Luthiers, Isabel Allende, Abelardo Castillo y Alan Pauls, entre muchos otros. </w:t>
      </w:r>
    </w:p>
    <w:p w:rsidR="00542D98" w:rsidRPr="00A67653" w:rsidRDefault="00542D98" w:rsidP="00A67653">
      <w:pPr>
        <w:spacing w:after="160" w:line="259" w:lineRule="auto"/>
        <w:ind w:firstLine="708"/>
        <w:jc w:val="both"/>
        <w:rPr>
          <w:rFonts w:ascii="Times New Roman" w:eastAsiaTheme="minorHAnsi" w:hAnsi="Times New Roman" w:cs="Times New Roman"/>
          <w:sz w:val="24"/>
          <w:szCs w:val="24"/>
          <w:lang w:eastAsia="en-US" w:bidi="he-IL"/>
        </w:rPr>
      </w:pPr>
      <w:r w:rsidRPr="00542D98">
        <w:rPr>
          <w:rFonts w:ascii="Times New Roman" w:eastAsiaTheme="minorHAnsi" w:hAnsi="Times New Roman" w:cs="Times New Roman"/>
          <w:sz w:val="24"/>
          <w:szCs w:val="24"/>
          <w:lang w:eastAsia="en-US" w:bidi="he-IL"/>
        </w:rPr>
        <w:t>Por todo esto, solicito a mis pares la aprobación del presente proyecto de declaración.</w:t>
      </w:r>
      <w:bookmarkEnd w:id="0"/>
    </w:p>
    <w:sectPr w:rsidR="00542D98" w:rsidRPr="00A67653" w:rsidSect="00A67653">
      <w:headerReference w:type="default" r:id="rId8"/>
      <w:footerReference w:type="default" r:id="rId9"/>
      <w:pgSz w:w="12240" w:h="20160" w:code="5"/>
      <w:pgMar w:top="1417" w:right="850"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604D" w:rsidRDefault="00A4604D" w:rsidP="004D1649">
      <w:r>
        <w:separator/>
      </w:r>
    </w:p>
  </w:endnote>
  <w:endnote w:type="continuationSeparator" w:id="1">
    <w:p w:rsidR="00A4604D" w:rsidRDefault="00A4604D" w:rsidP="004D164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01C" w:rsidRDefault="00B0101C" w:rsidP="00B40DA7">
    <w:pPr>
      <w:tabs>
        <w:tab w:val="center" w:pos="4419"/>
        <w:tab w:val="right" w:pos="8838"/>
      </w:tabs>
      <w:jc w:val="center"/>
      <w:rPr>
        <w:rFonts w:ascii="Times New Roman" w:eastAsia="Times New Roman" w:hAnsi="Times New Roman" w:cs="Times New Roman"/>
        <w:sz w:val="20"/>
        <w:szCs w:val="20"/>
        <w:lang w:val="es-ES_tradnl"/>
      </w:rPr>
    </w:pPr>
    <w:r w:rsidRPr="008633DB">
      <w:rPr>
        <w:rFonts w:ascii="Times New Roman" w:eastAsia="Times New Roman" w:hAnsi="Times New Roman" w:cs="Times New Roman"/>
        <w:sz w:val="20"/>
        <w:szCs w:val="20"/>
        <w:lang w:val="es-ES_tradnl"/>
      </w:rPr>
      <w:t xml:space="preserve">Último cambio:  </w:t>
    </w:r>
    <w:fldSimple w:instr=" SAVEDATE  \* MERGEFORMAT ">
      <w:r w:rsidR="00BC3079">
        <w:rPr>
          <w:rFonts w:ascii="Times New Roman" w:eastAsia="Times New Roman" w:hAnsi="Times New Roman" w:cs="Times New Roman"/>
          <w:noProof/>
          <w:sz w:val="20"/>
          <w:szCs w:val="20"/>
          <w:lang w:val="es-ES_tradnl"/>
        </w:rPr>
        <w:t>31/10/2022 14:08:00</w:t>
      </w:r>
    </w:fldSimple>
    <w:r w:rsidRPr="008633DB">
      <w:rPr>
        <w:rFonts w:ascii="Times New Roman" w:eastAsia="Times New Roman" w:hAnsi="Times New Roman" w:cs="Times New Roman"/>
        <w:sz w:val="20"/>
        <w:szCs w:val="20"/>
        <w:lang w:val="es-ES_tradnl"/>
      </w:rPr>
      <w:t xml:space="preserve">  -  Cantidad de caracteres: </w:t>
    </w:r>
    <w:fldSimple w:instr=" NUMCHARS  \* MERGEFORMAT ">
      <w:r w:rsidR="00BC3079">
        <w:rPr>
          <w:rFonts w:ascii="Times New Roman" w:eastAsia="Times New Roman" w:hAnsi="Times New Roman" w:cs="Times New Roman"/>
          <w:noProof/>
          <w:sz w:val="20"/>
          <w:szCs w:val="20"/>
          <w:lang w:val="es-ES_tradnl"/>
        </w:rPr>
        <w:t>3215</w:t>
      </w:r>
    </w:fldSimple>
    <w:r w:rsidRPr="008633DB">
      <w:rPr>
        <w:rFonts w:ascii="Times New Roman" w:eastAsia="Times New Roman" w:hAnsi="Times New Roman" w:cs="Times New Roman"/>
        <w:sz w:val="20"/>
        <w:szCs w:val="20"/>
        <w:lang w:val="es-ES_tradnl"/>
      </w:rPr>
      <w:t xml:space="preserve"> - Cantidad de palabras: </w:t>
    </w:r>
    <w:fldSimple w:instr=" NUMWORDS  \* MERGEFORMAT ">
      <w:r w:rsidR="00BC3079">
        <w:rPr>
          <w:rFonts w:ascii="Times New Roman" w:eastAsia="Times New Roman" w:hAnsi="Times New Roman" w:cs="Times New Roman"/>
          <w:noProof/>
          <w:sz w:val="20"/>
          <w:szCs w:val="20"/>
          <w:lang w:val="es-ES_tradnl"/>
        </w:rPr>
        <w:t>597</w:t>
      </w:r>
    </w:fldSimple>
  </w:p>
  <w:p w:rsidR="00B0101C" w:rsidRPr="008633DB" w:rsidRDefault="00B0101C" w:rsidP="00B40DA7">
    <w:pPr>
      <w:tabs>
        <w:tab w:val="center" w:pos="4419"/>
        <w:tab w:val="right" w:pos="8838"/>
      </w:tabs>
      <w:jc w:val="center"/>
      <w:rPr>
        <w:rFonts w:ascii="Times New Roman" w:eastAsia="Times New Roman" w:hAnsi="Times New Roman" w:cs="Times New Roman"/>
        <w:sz w:val="20"/>
        <w:szCs w:val="20"/>
        <w:lang w:val="es-ES_tradnl"/>
      </w:rPr>
    </w:pPr>
    <w:r w:rsidRPr="008633DB">
      <w:rPr>
        <w:rFonts w:ascii="Times New Roman" w:eastAsia="Times New Roman" w:hAnsi="Times New Roman" w:cs="Times New Roman"/>
        <w:sz w:val="20"/>
        <w:szCs w:val="20"/>
        <w:lang w:val="es-ES_tradnl"/>
      </w:rPr>
      <w:t>Pág.</w:t>
    </w:r>
    <w:r w:rsidR="008B27F8" w:rsidRPr="008633DB">
      <w:rPr>
        <w:rFonts w:ascii="Times New Roman" w:eastAsia="Times New Roman" w:hAnsi="Times New Roman" w:cs="Times New Roman"/>
        <w:sz w:val="24"/>
        <w:szCs w:val="20"/>
        <w:lang w:val="es-ES_tradnl"/>
      </w:rPr>
      <w:fldChar w:fldCharType="begin"/>
    </w:r>
    <w:r w:rsidRPr="008633DB">
      <w:rPr>
        <w:rFonts w:ascii="Times New Roman" w:eastAsia="Times New Roman" w:hAnsi="Times New Roman" w:cs="Times New Roman"/>
        <w:sz w:val="24"/>
        <w:szCs w:val="20"/>
        <w:lang w:val="es-ES_tradnl"/>
      </w:rPr>
      <w:instrText xml:space="preserve"> PAGE </w:instrText>
    </w:r>
    <w:r w:rsidR="008B27F8" w:rsidRPr="008633DB">
      <w:rPr>
        <w:rFonts w:ascii="Times New Roman" w:eastAsia="Times New Roman" w:hAnsi="Times New Roman" w:cs="Times New Roman"/>
        <w:sz w:val="24"/>
        <w:szCs w:val="20"/>
        <w:lang w:val="es-ES_tradnl"/>
      </w:rPr>
      <w:fldChar w:fldCharType="separate"/>
    </w:r>
    <w:r w:rsidR="00BC3079">
      <w:rPr>
        <w:rFonts w:ascii="Times New Roman" w:eastAsia="Times New Roman" w:hAnsi="Times New Roman" w:cs="Times New Roman"/>
        <w:noProof/>
        <w:sz w:val="24"/>
        <w:szCs w:val="20"/>
        <w:lang w:val="es-ES_tradnl"/>
      </w:rPr>
      <w:t>2</w:t>
    </w:r>
    <w:r w:rsidR="008B27F8" w:rsidRPr="008633DB">
      <w:rPr>
        <w:rFonts w:ascii="Times New Roman" w:eastAsia="Times New Roman" w:hAnsi="Times New Roman" w:cs="Times New Roman"/>
        <w:sz w:val="24"/>
        <w:szCs w:val="20"/>
        <w:lang w:val="es-ES_tradnl"/>
      </w:rPr>
      <w:fldChar w:fldCharType="end"/>
    </w:r>
    <w:r w:rsidRPr="008633DB">
      <w:rPr>
        <w:rFonts w:ascii="Times New Roman" w:eastAsia="Times New Roman" w:hAnsi="Times New Roman" w:cs="Times New Roman"/>
        <w:sz w:val="24"/>
        <w:szCs w:val="20"/>
        <w:lang w:val="es-ES_tradnl"/>
      </w:rPr>
      <w:t>/</w:t>
    </w:r>
    <w:fldSimple w:instr=" NUMPAGES  \* MERGEFORMAT ">
      <w:r w:rsidR="00BC3079">
        <w:rPr>
          <w:rFonts w:ascii="Times New Roman" w:eastAsia="Times New Roman" w:hAnsi="Times New Roman" w:cs="Times New Roman"/>
          <w:noProof/>
          <w:sz w:val="24"/>
          <w:szCs w:val="20"/>
          <w:lang w:val="es-ES_tradnl"/>
        </w:rPr>
        <w:t>2</w:t>
      </w:r>
    </w:fldSimple>
  </w:p>
  <w:p w:rsidR="00B0101C" w:rsidRDefault="00B0101C" w:rsidP="00B40DA7">
    <w:pPr>
      <w:pStyle w:val="Piedepgina"/>
    </w:pPr>
  </w:p>
  <w:p w:rsidR="00B0101C" w:rsidRDefault="00B0101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604D" w:rsidRDefault="00A4604D" w:rsidP="004D1649">
      <w:r>
        <w:separator/>
      </w:r>
    </w:p>
  </w:footnote>
  <w:footnote w:type="continuationSeparator" w:id="1">
    <w:p w:rsidR="00A4604D" w:rsidRDefault="00A4604D" w:rsidP="004D16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D5" w:rsidRDefault="004E5DD5" w:rsidP="004E5DD5">
    <w:pPr>
      <w:pStyle w:val="Encabezado"/>
      <w:jc w:val="cente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42D98"/>
    <w:rsid w:val="0010517F"/>
    <w:rsid w:val="00154615"/>
    <w:rsid w:val="00202678"/>
    <w:rsid w:val="002A054B"/>
    <w:rsid w:val="003E07E0"/>
    <w:rsid w:val="004D1649"/>
    <w:rsid w:val="004D2E7E"/>
    <w:rsid w:val="004E5DD5"/>
    <w:rsid w:val="00542D98"/>
    <w:rsid w:val="005512A7"/>
    <w:rsid w:val="005605CF"/>
    <w:rsid w:val="005B6493"/>
    <w:rsid w:val="008B27F8"/>
    <w:rsid w:val="00A016E3"/>
    <w:rsid w:val="00A4604D"/>
    <w:rsid w:val="00A67653"/>
    <w:rsid w:val="00A939A3"/>
    <w:rsid w:val="00AE34DF"/>
    <w:rsid w:val="00B0101C"/>
    <w:rsid w:val="00B36E4B"/>
    <w:rsid w:val="00B72697"/>
    <w:rsid w:val="00B926F7"/>
    <w:rsid w:val="00BC3079"/>
    <w:rsid w:val="00C956F1"/>
    <w:rsid w:val="00D860F4"/>
    <w:rsid w:val="00E065BE"/>
    <w:rsid w:val="00E836EE"/>
    <w:rsid w:val="00F11939"/>
    <w:rsid w:val="00FB6A0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AR"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7F8"/>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42D98"/>
    <w:rPr>
      <w:color w:val="0563C1" w:themeColor="hyperlink"/>
      <w:u w:val="single"/>
    </w:rPr>
  </w:style>
  <w:style w:type="paragraph" w:styleId="Encabezado">
    <w:name w:val="header"/>
    <w:basedOn w:val="Normal"/>
    <w:link w:val="EncabezadoCar"/>
    <w:uiPriority w:val="99"/>
    <w:unhideWhenUsed/>
    <w:rsid w:val="004D1649"/>
    <w:pPr>
      <w:tabs>
        <w:tab w:val="center" w:pos="4252"/>
        <w:tab w:val="right" w:pos="8504"/>
      </w:tabs>
    </w:pPr>
  </w:style>
  <w:style w:type="character" w:customStyle="1" w:styleId="EncabezadoCar">
    <w:name w:val="Encabezado Car"/>
    <w:basedOn w:val="Fuentedeprrafopredeter"/>
    <w:link w:val="Encabezado"/>
    <w:uiPriority w:val="99"/>
    <w:rsid w:val="004D1649"/>
  </w:style>
  <w:style w:type="paragraph" w:styleId="Piedepgina">
    <w:name w:val="footer"/>
    <w:basedOn w:val="Normal"/>
    <w:link w:val="PiedepginaCar"/>
    <w:uiPriority w:val="99"/>
    <w:unhideWhenUsed/>
    <w:rsid w:val="004D1649"/>
    <w:pPr>
      <w:tabs>
        <w:tab w:val="center" w:pos="4252"/>
        <w:tab w:val="right" w:pos="8504"/>
      </w:tabs>
    </w:pPr>
  </w:style>
  <w:style w:type="character" w:customStyle="1" w:styleId="PiedepginaCar">
    <w:name w:val="Pie de página Car"/>
    <w:basedOn w:val="Fuentedeprrafopredeter"/>
    <w:link w:val="Piedepgina"/>
    <w:uiPriority w:val="99"/>
    <w:rsid w:val="004D1649"/>
  </w:style>
  <w:style w:type="paragraph" w:styleId="Textodeglobo">
    <w:name w:val="Balloon Text"/>
    <w:basedOn w:val="Normal"/>
    <w:link w:val="TextodegloboCar"/>
    <w:uiPriority w:val="99"/>
    <w:semiHidden/>
    <w:unhideWhenUsed/>
    <w:rsid w:val="00A016E3"/>
    <w:rPr>
      <w:rFonts w:ascii="Tahoma" w:hAnsi="Tahoma" w:cs="Tahoma"/>
      <w:sz w:val="16"/>
      <w:szCs w:val="16"/>
    </w:rPr>
  </w:style>
  <w:style w:type="character" w:customStyle="1" w:styleId="TextodegloboCar">
    <w:name w:val="Texto de globo Car"/>
    <w:basedOn w:val="Fuentedeprrafopredeter"/>
    <w:link w:val="Textodeglobo"/>
    <w:uiPriority w:val="99"/>
    <w:semiHidden/>
    <w:rsid w:val="00A016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eb.archive.org/web/20171014235249/http://www.lanacion.com.ar/979452-el-ateneo-grand-splendid-una-joya-entre-las-librerias-del-mund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tionalgeographic.com/travel/article/things-to-see-beautiful-bookshop"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597</Words>
  <Characters>3215</Characters>
  <Application>Microsoft Office Word</Application>
  <DocSecurity>0</DocSecurity>
  <Lines>84</Lines>
  <Paragraphs>18</Paragraphs>
  <ScaleCrop>false</ScaleCrop>
  <Company/>
  <LinksUpToDate>false</LinksUpToDate>
  <CharactersWithSpaces>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 Javier Muñoz</dc:creator>
  <cp:lastModifiedBy>rorosa</cp:lastModifiedBy>
  <cp:revision>4</cp:revision>
  <dcterms:created xsi:type="dcterms:W3CDTF">2022-10-31T17:06:00Z</dcterms:created>
  <dcterms:modified xsi:type="dcterms:W3CDTF">2022-10-31T17:08:00Z</dcterms:modified>
</cp:coreProperties>
</file>