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A7A" w:rsidRPr="003E7A7A" w:rsidRDefault="003E7A7A" w:rsidP="003E7A7A">
      <w:pPr>
        <w:spacing w:before="240" w:after="240"/>
        <w:jc w:val="center"/>
        <w:rPr>
          <w:rFonts w:ascii="Arial" w:eastAsia="Arial" w:hAnsi="Arial" w:cs="Arial"/>
          <w:b/>
          <w:sz w:val="24"/>
          <w:szCs w:val="24"/>
        </w:rPr>
      </w:pPr>
      <w:r w:rsidRPr="003E7A7A">
        <w:rPr>
          <w:rFonts w:ascii="Arial" w:eastAsia="Arial" w:hAnsi="Arial" w:cs="Arial"/>
          <w:b/>
          <w:sz w:val="24"/>
          <w:szCs w:val="24"/>
        </w:rPr>
        <w:t>PROYECTO DE RESOLUCIÓN</w:t>
      </w:r>
    </w:p>
    <w:p w:rsidR="003E7A7A" w:rsidRPr="003E7A7A" w:rsidRDefault="003E7A7A" w:rsidP="003E7A7A">
      <w:pPr>
        <w:spacing w:before="240" w:after="240"/>
        <w:jc w:val="center"/>
        <w:rPr>
          <w:rFonts w:ascii="Arial" w:eastAsia="Arial" w:hAnsi="Arial" w:cs="Arial"/>
          <w:bCs/>
          <w:sz w:val="24"/>
          <w:szCs w:val="24"/>
        </w:rPr>
      </w:pPr>
      <w:r w:rsidRPr="003E7A7A">
        <w:rPr>
          <w:rFonts w:ascii="Arial" w:eastAsia="Arial" w:hAnsi="Arial" w:cs="Arial"/>
          <w:bCs/>
          <w:sz w:val="24"/>
          <w:szCs w:val="24"/>
        </w:rPr>
        <w:t>LA LEGISLATURA DE LA CIUDAD AUTÓNOMA DE BUENOS AIRES RESUELVE</w:t>
      </w:r>
    </w:p>
    <w:p w:rsidR="003E7A7A" w:rsidRPr="003E7A7A" w:rsidRDefault="003E7A7A" w:rsidP="003E7A7A">
      <w:pPr>
        <w:spacing w:before="240" w:after="240"/>
        <w:jc w:val="both"/>
        <w:rPr>
          <w:rFonts w:ascii="Arial" w:eastAsia="Arial" w:hAnsi="Arial" w:cs="Arial"/>
          <w:sz w:val="24"/>
          <w:szCs w:val="24"/>
        </w:rPr>
      </w:pPr>
    </w:p>
    <w:p w:rsidR="003E7A7A" w:rsidRPr="003E7A7A" w:rsidRDefault="003E7A7A" w:rsidP="003E7A7A">
      <w:pPr>
        <w:spacing w:before="240" w:after="240"/>
        <w:jc w:val="both"/>
        <w:rPr>
          <w:rFonts w:ascii="Arial" w:eastAsia="Arial" w:hAnsi="Arial" w:cs="Arial"/>
          <w:sz w:val="24"/>
          <w:szCs w:val="24"/>
        </w:rPr>
      </w:pPr>
      <w:r w:rsidRPr="003E7A7A">
        <w:rPr>
          <w:rFonts w:ascii="Arial" w:eastAsia="Arial" w:hAnsi="Arial" w:cs="Arial"/>
          <w:sz w:val="24"/>
          <w:szCs w:val="24"/>
        </w:rPr>
        <w:t xml:space="preserve">Artículo 1°.- </w:t>
      </w:r>
      <w:proofErr w:type="spellStart"/>
      <w:r w:rsidRPr="003E7A7A">
        <w:rPr>
          <w:rFonts w:ascii="Arial" w:eastAsia="Arial" w:hAnsi="Arial" w:cs="Arial"/>
          <w:sz w:val="24"/>
          <w:szCs w:val="24"/>
        </w:rPr>
        <w:t>Dispónese</w:t>
      </w:r>
      <w:proofErr w:type="spellEnd"/>
      <w:r w:rsidRPr="003E7A7A">
        <w:rPr>
          <w:rFonts w:ascii="Arial" w:eastAsia="Arial" w:hAnsi="Arial" w:cs="Arial"/>
          <w:sz w:val="24"/>
          <w:szCs w:val="24"/>
        </w:rPr>
        <w:t xml:space="preserve"> la colocación de una placa conmemorativa en la Facultad de Ciencias Económicas de la Universidad de Buenos Aires, con motivo de homenajear el 100° aniversario de la primera edición de “La Fatiga y sus Proyecciones Sociales” de Alfredo Lorenzo Palacios, que contendrá el siguiente texto:</w:t>
      </w:r>
    </w:p>
    <w:p w:rsidR="003E7A7A" w:rsidRDefault="003E7A7A" w:rsidP="003E7A7A">
      <w:pPr>
        <w:spacing w:before="240" w:after="240"/>
        <w:jc w:val="both"/>
        <w:rPr>
          <w:rFonts w:ascii="Arial" w:eastAsia="Arial" w:hAnsi="Arial" w:cs="Arial"/>
          <w:sz w:val="24"/>
          <w:szCs w:val="24"/>
        </w:rPr>
      </w:pPr>
    </w:p>
    <w:p w:rsidR="003E7A7A" w:rsidRPr="003E7A7A" w:rsidRDefault="003E7A7A" w:rsidP="003E7A7A">
      <w:pPr>
        <w:spacing w:before="240" w:after="240"/>
        <w:jc w:val="both"/>
        <w:rPr>
          <w:rFonts w:ascii="Arial" w:eastAsia="Arial" w:hAnsi="Arial" w:cs="Arial"/>
          <w:sz w:val="24"/>
          <w:szCs w:val="24"/>
        </w:rPr>
      </w:pPr>
    </w:p>
    <w:p w:rsidR="003E7A7A" w:rsidRPr="003E7A7A" w:rsidRDefault="003E7A7A" w:rsidP="003E7A7A">
      <w:pPr>
        <w:spacing w:before="240" w:after="240"/>
        <w:jc w:val="center"/>
        <w:rPr>
          <w:rFonts w:ascii="Arial" w:eastAsia="Arial" w:hAnsi="Arial" w:cs="Arial"/>
          <w:sz w:val="24"/>
          <w:szCs w:val="24"/>
        </w:rPr>
      </w:pPr>
      <w:r w:rsidRPr="003E7A7A">
        <w:rPr>
          <w:rFonts w:ascii="Arial" w:eastAsia="Arial" w:hAnsi="Arial" w:cs="Arial"/>
          <w:sz w:val="24"/>
          <w:szCs w:val="24"/>
        </w:rPr>
        <w:t>Escudo Legislatura</w:t>
      </w:r>
    </w:p>
    <w:p w:rsidR="003E7A7A" w:rsidRDefault="003E7A7A" w:rsidP="003E7A7A">
      <w:pPr>
        <w:spacing w:before="240" w:after="240"/>
        <w:jc w:val="center"/>
        <w:rPr>
          <w:rFonts w:ascii="Arial" w:eastAsia="Arial" w:hAnsi="Arial" w:cs="Arial"/>
          <w:sz w:val="24"/>
          <w:szCs w:val="24"/>
        </w:rPr>
      </w:pPr>
    </w:p>
    <w:p w:rsidR="003E7A7A" w:rsidRPr="003E7A7A" w:rsidRDefault="003E7A7A" w:rsidP="003E7A7A">
      <w:pPr>
        <w:spacing w:before="240" w:after="240"/>
        <w:jc w:val="center"/>
        <w:rPr>
          <w:rFonts w:ascii="Arial" w:eastAsia="Arial" w:hAnsi="Arial" w:cs="Arial"/>
          <w:sz w:val="24"/>
          <w:szCs w:val="24"/>
        </w:rPr>
      </w:pPr>
      <w:r w:rsidRPr="003E7A7A">
        <w:rPr>
          <w:rFonts w:ascii="Arial" w:eastAsia="Arial" w:hAnsi="Arial" w:cs="Arial"/>
          <w:sz w:val="24"/>
          <w:szCs w:val="24"/>
        </w:rPr>
        <w:t>"En el 100° aniversario de la publicación de la primera edición</w:t>
      </w:r>
    </w:p>
    <w:p w:rsidR="003E7A7A" w:rsidRPr="003E7A7A" w:rsidRDefault="003E7A7A" w:rsidP="003E7A7A">
      <w:pPr>
        <w:spacing w:before="240" w:after="240"/>
        <w:jc w:val="center"/>
        <w:rPr>
          <w:rFonts w:ascii="Arial" w:eastAsia="Arial" w:hAnsi="Arial" w:cs="Arial"/>
          <w:sz w:val="24"/>
          <w:szCs w:val="24"/>
        </w:rPr>
      </w:pPr>
      <w:r w:rsidRPr="003E7A7A">
        <w:rPr>
          <w:rFonts w:ascii="Arial" w:eastAsia="Arial" w:hAnsi="Arial" w:cs="Arial"/>
          <w:sz w:val="24"/>
          <w:szCs w:val="24"/>
        </w:rPr>
        <w:t>De La Fatiga y sus Proyecciones Sociales,</w:t>
      </w:r>
    </w:p>
    <w:p w:rsidR="003E7A7A" w:rsidRPr="003E7A7A" w:rsidRDefault="003E7A7A" w:rsidP="003E7A7A">
      <w:pPr>
        <w:spacing w:before="240" w:after="240"/>
        <w:jc w:val="center"/>
        <w:rPr>
          <w:rFonts w:ascii="Arial" w:eastAsia="Arial" w:hAnsi="Arial" w:cs="Arial"/>
          <w:sz w:val="24"/>
          <w:szCs w:val="24"/>
        </w:rPr>
      </w:pPr>
      <w:r w:rsidRPr="003E7A7A">
        <w:rPr>
          <w:rFonts w:ascii="Arial" w:eastAsia="Arial" w:hAnsi="Arial" w:cs="Arial"/>
          <w:sz w:val="24"/>
          <w:szCs w:val="24"/>
        </w:rPr>
        <w:t>De Alfredo L. Palacios</w:t>
      </w:r>
    </w:p>
    <w:p w:rsidR="003E7A7A" w:rsidRPr="003E7A7A" w:rsidRDefault="003E7A7A" w:rsidP="003E7A7A">
      <w:pPr>
        <w:spacing w:before="240" w:after="240"/>
        <w:jc w:val="center"/>
        <w:rPr>
          <w:rFonts w:ascii="Arial" w:eastAsia="Arial" w:hAnsi="Arial" w:cs="Arial"/>
          <w:sz w:val="24"/>
          <w:szCs w:val="24"/>
        </w:rPr>
      </w:pPr>
      <w:r w:rsidRPr="003E7A7A">
        <w:rPr>
          <w:rFonts w:ascii="Arial" w:eastAsia="Arial" w:hAnsi="Arial" w:cs="Arial"/>
          <w:sz w:val="24"/>
          <w:szCs w:val="24"/>
        </w:rPr>
        <w:t>Editado por la Facultad de Ciencias Económicas de la Universidad de Buenos Aires</w:t>
      </w:r>
    </w:p>
    <w:p w:rsidR="003E7A7A" w:rsidRPr="003E7A7A" w:rsidRDefault="003E7A7A" w:rsidP="003E7A7A">
      <w:pPr>
        <w:spacing w:before="240" w:after="240"/>
        <w:jc w:val="center"/>
        <w:rPr>
          <w:rFonts w:ascii="Arial" w:eastAsia="Arial" w:hAnsi="Arial" w:cs="Arial"/>
          <w:sz w:val="24"/>
          <w:szCs w:val="24"/>
        </w:rPr>
      </w:pPr>
      <w:r w:rsidRPr="003E7A7A">
        <w:rPr>
          <w:rFonts w:ascii="Arial" w:eastAsia="Arial" w:hAnsi="Arial" w:cs="Arial"/>
          <w:sz w:val="24"/>
          <w:szCs w:val="24"/>
        </w:rPr>
        <w:t>1922-2022</w:t>
      </w:r>
    </w:p>
    <w:p w:rsidR="003E7A7A" w:rsidRPr="003E7A7A" w:rsidRDefault="003E7A7A" w:rsidP="003E7A7A">
      <w:pPr>
        <w:spacing w:before="240" w:after="240"/>
        <w:jc w:val="center"/>
        <w:rPr>
          <w:rFonts w:ascii="Arial" w:eastAsia="Arial" w:hAnsi="Arial" w:cs="Arial"/>
          <w:sz w:val="24"/>
          <w:szCs w:val="24"/>
        </w:rPr>
      </w:pPr>
    </w:p>
    <w:p w:rsidR="003E7A7A" w:rsidRPr="003E7A7A" w:rsidRDefault="003E7A7A" w:rsidP="003E7A7A">
      <w:pPr>
        <w:spacing w:before="240" w:after="240"/>
        <w:jc w:val="center"/>
        <w:rPr>
          <w:rFonts w:ascii="Arial" w:eastAsia="Arial" w:hAnsi="Arial" w:cs="Arial"/>
          <w:sz w:val="24"/>
          <w:szCs w:val="24"/>
        </w:rPr>
      </w:pPr>
      <w:r w:rsidRPr="003E7A7A">
        <w:rPr>
          <w:rFonts w:ascii="Arial" w:eastAsia="Arial" w:hAnsi="Arial" w:cs="Arial"/>
          <w:sz w:val="24"/>
          <w:szCs w:val="24"/>
        </w:rPr>
        <w:t>Homenaje de la Legislatura de la Ciudad Autónoma de Buenos Aires"</w:t>
      </w:r>
    </w:p>
    <w:p w:rsidR="003E7A7A" w:rsidRDefault="003E7A7A" w:rsidP="003E7A7A">
      <w:pPr>
        <w:spacing w:before="240" w:after="240"/>
        <w:jc w:val="both"/>
        <w:rPr>
          <w:rFonts w:ascii="Arial" w:eastAsia="Arial" w:hAnsi="Arial" w:cs="Arial"/>
          <w:sz w:val="24"/>
          <w:szCs w:val="24"/>
        </w:rPr>
      </w:pPr>
    </w:p>
    <w:p w:rsidR="003E7A7A" w:rsidRPr="003E7A7A" w:rsidRDefault="003E7A7A" w:rsidP="003E7A7A">
      <w:pPr>
        <w:spacing w:before="240" w:after="240"/>
        <w:jc w:val="both"/>
        <w:rPr>
          <w:rFonts w:ascii="Arial" w:eastAsia="Arial" w:hAnsi="Arial" w:cs="Arial"/>
          <w:sz w:val="24"/>
          <w:szCs w:val="24"/>
        </w:rPr>
      </w:pPr>
    </w:p>
    <w:p w:rsidR="003E7A7A" w:rsidRPr="003E7A7A" w:rsidRDefault="003E7A7A" w:rsidP="003E7A7A">
      <w:pPr>
        <w:spacing w:before="240" w:after="240"/>
        <w:jc w:val="both"/>
        <w:rPr>
          <w:rFonts w:ascii="Arial" w:eastAsia="Arial" w:hAnsi="Arial" w:cs="Arial"/>
          <w:sz w:val="24"/>
          <w:szCs w:val="24"/>
        </w:rPr>
      </w:pPr>
      <w:r w:rsidRPr="003E7A7A">
        <w:rPr>
          <w:rFonts w:ascii="Arial" w:eastAsia="Arial" w:hAnsi="Arial" w:cs="Arial"/>
          <w:sz w:val="24"/>
          <w:szCs w:val="24"/>
        </w:rPr>
        <w:t>Artículo 2°.- Comuníquese, etc.</w:t>
      </w:r>
    </w:p>
    <w:p w:rsidR="003E7A7A" w:rsidRDefault="003E7A7A" w:rsidP="003E7A7A">
      <w:pPr>
        <w:spacing w:before="240" w:after="240"/>
        <w:rPr>
          <w:rFonts w:ascii="Arial" w:eastAsia="Arial" w:hAnsi="Arial" w:cs="Arial"/>
          <w:sz w:val="24"/>
          <w:szCs w:val="24"/>
        </w:rPr>
      </w:pPr>
      <w:r>
        <w:rPr>
          <w:rFonts w:ascii="Arial" w:eastAsia="Arial" w:hAnsi="Arial" w:cs="Arial"/>
          <w:sz w:val="24"/>
          <w:szCs w:val="24"/>
        </w:rPr>
        <w:br w:type="page"/>
      </w:r>
    </w:p>
    <w:p w:rsidR="003E7A7A" w:rsidRPr="003E7A7A" w:rsidRDefault="003E7A7A" w:rsidP="003E7A7A">
      <w:pPr>
        <w:spacing w:before="240" w:after="240"/>
        <w:jc w:val="both"/>
        <w:rPr>
          <w:rFonts w:ascii="Arial" w:eastAsia="Arial" w:hAnsi="Arial" w:cs="Arial"/>
          <w:sz w:val="24"/>
          <w:szCs w:val="24"/>
        </w:rPr>
      </w:pPr>
      <w:r w:rsidRPr="003E7A7A">
        <w:rPr>
          <w:rFonts w:ascii="Arial" w:eastAsia="Arial" w:hAnsi="Arial" w:cs="Arial"/>
          <w:b/>
          <w:sz w:val="24"/>
          <w:szCs w:val="24"/>
        </w:rPr>
        <w:lastRenderedPageBreak/>
        <w:t>FUNDAMENTOS</w:t>
      </w:r>
    </w:p>
    <w:p w:rsidR="003E7A7A" w:rsidRPr="003E7A7A" w:rsidRDefault="003E7A7A" w:rsidP="003E7A7A">
      <w:pPr>
        <w:spacing w:before="240" w:after="240"/>
        <w:jc w:val="both"/>
        <w:rPr>
          <w:rFonts w:ascii="Arial" w:eastAsia="Arial" w:hAnsi="Arial" w:cs="Arial"/>
          <w:sz w:val="24"/>
          <w:szCs w:val="24"/>
        </w:rPr>
      </w:pPr>
      <w:r w:rsidRPr="003E7A7A">
        <w:rPr>
          <w:rFonts w:ascii="Arial" w:eastAsia="Arial" w:hAnsi="Arial" w:cs="Arial"/>
          <w:sz w:val="24"/>
          <w:szCs w:val="24"/>
        </w:rPr>
        <w:t>Señor Presidente:</w:t>
      </w:r>
    </w:p>
    <w:p w:rsidR="003E7A7A" w:rsidRPr="003E7A7A" w:rsidRDefault="003E7A7A" w:rsidP="003E7A7A">
      <w:pPr>
        <w:spacing w:before="240" w:after="240"/>
        <w:ind w:firstLine="708"/>
        <w:jc w:val="both"/>
        <w:rPr>
          <w:rFonts w:ascii="Arial" w:eastAsia="Arial" w:hAnsi="Arial" w:cs="Arial"/>
          <w:i/>
          <w:iCs/>
          <w:sz w:val="24"/>
          <w:szCs w:val="24"/>
        </w:rPr>
      </w:pPr>
      <w:r w:rsidRPr="003E7A7A">
        <w:rPr>
          <w:rFonts w:ascii="Arial" w:eastAsia="Arial" w:hAnsi="Arial" w:cs="Arial"/>
          <w:sz w:val="24"/>
          <w:szCs w:val="24"/>
        </w:rPr>
        <w:t>“S</w:t>
      </w:r>
      <w:r w:rsidRPr="003E7A7A">
        <w:rPr>
          <w:rFonts w:ascii="Arial" w:eastAsia="Arial" w:hAnsi="Arial" w:cs="Arial"/>
          <w:i/>
          <w:iCs/>
          <w:sz w:val="24"/>
          <w:szCs w:val="24"/>
        </w:rPr>
        <w:t xml:space="preserve">i el motor metálico se descompone, a pesar del celo del capitalista, que con mirada de zahorí vigila el funcionamiento de la fábrica, ahí está el mecánico, para componerlo, después de observar prolijamente todos los rodajes de la máquina. </w:t>
      </w:r>
    </w:p>
    <w:p w:rsidR="003E7A7A" w:rsidRPr="003E7A7A" w:rsidRDefault="003E7A7A" w:rsidP="003E7A7A">
      <w:pPr>
        <w:spacing w:before="240" w:after="240"/>
        <w:ind w:firstLine="708"/>
        <w:jc w:val="both"/>
        <w:rPr>
          <w:rFonts w:ascii="Arial" w:eastAsia="Arial" w:hAnsi="Arial" w:cs="Arial"/>
          <w:i/>
          <w:iCs/>
          <w:sz w:val="24"/>
          <w:szCs w:val="24"/>
        </w:rPr>
      </w:pPr>
      <w:r w:rsidRPr="003E7A7A">
        <w:rPr>
          <w:rFonts w:ascii="Arial" w:eastAsia="Arial" w:hAnsi="Arial" w:cs="Arial"/>
          <w:i/>
          <w:iCs/>
          <w:sz w:val="24"/>
          <w:szCs w:val="24"/>
        </w:rPr>
        <w:t xml:space="preserve">Pero, si se altera o destruye la atención del obrero, que forma parte del sutil ordenamiento </w:t>
      </w:r>
      <w:proofErr w:type="spellStart"/>
      <w:r w:rsidRPr="003E7A7A">
        <w:rPr>
          <w:rFonts w:ascii="Arial" w:eastAsia="Arial" w:hAnsi="Arial" w:cs="Arial"/>
          <w:i/>
          <w:iCs/>
          <w:sz w:val="24"/>
          <w:szCs w:val="24"/>
        </w:rPr>
        <w:t>psico</w:t>
      </w:r>
      <w:proofErr w:type="spellEnd"/>
      <w:r w:rsidRPr="003E7A7A">
        <w:rPr>
          <w:rFonts w:ascii="Arial" w:eastAsia="Arial" w:hAnsi="Arial" w:cs="Arial"/>
          <w:i/>
          <w:iCs/>
          <w:sz w:val="24"/>
          <w:szCs w:val="24"/>
        </w:rPr>
        <w:t>-fisiológico,- ¿quién se preocupa de ello?”</w:t>
      </w:r>
      <w:r w:rsidRPr="003E7A7A">
        <w:rPr>
          <w:rStyle w:val="Refdenotaalpie"/>
          <w:rFonts w:ascii="Arial" w:eastAsia="Arial" w:hAnsi="Arial" w:cs="Arial"/>
          <w:i/>
          <w:iCs/>
          <w:sz w:val="24"/>
          <w:szCs w:val="24"/>
        </w:rPr>
        <w:footnoteReference w:id="1"/>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En mayo pasado se cumplió un siglo de la primera publicación de “</w:t>
      </w:r>
      <w:r w:rsidRPr="003E7A7A">
        <w:rPr>
          <w:rFonts w:ascii="Arial" w:eastAsia="Arial" w:hAnsi="Arial" w:cs="Arial"/>
          <w:i/>
          <w:sz w:val="24"/>
          <w:szCs w:val="24"/>
        </w:rPr>
        <w:t>La Fatiga y sus proyecciones sociales</w:t>
      </w:r>
      <w:r w:rsidRPr="003E7A7A">
        <w:rPr>
          <w:rFonts w:ascii="Arial" w:eastAsia="Arial" w:hAnsi="Arial" w:cs="Arial"/>
          <w:sz w:val="24"/>
          <w:szCs w:val="24"/>
        </w:rPr>
        <w:t xml:space="preserve">” de Alfredo L. Palacios, cuya edición estuvo a cargo de la Facultad de Ciencias Económicas de la Universidad de Buenos Aires.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El contenido de ese libro se convirtió, en poco tiempo, en una referencia obligatoria para cualquiera que intentara estudiar la sociología del trabajo en el mundo.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Palacios desarrolló a lo largo de nueve capítulos, centrado en la preocupación por el bienestar psicofísico de las y los trabajadores, un abordaje que parte de fundamentos filosóficos, económicos, legales y políticos del trabajo como concepto y su evolución en el capitalismo industrial de la época en la que escribe.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Continúa con el estudio de la fatiga física y psicológica en trabajadores como consecuencia del trabajo en una fábrica, basándose en una serie de estudios rigurosamente llevados a cabo con la finalidad de probar su tesis.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Su trabajo de investigación consistió en un análisis minucioso y multidimensional para probar la relación entre la fatiga físico-psicológica de los trabajadores y los circuitos de producción.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Influenciado por el positivismo como escuela de pensamiento científico, predominante en el estudio de las ciencias sociales de la época, evaluó el impacto que la sucesión de extenuantes jornadas laborales y la utilización de maquinaria tenían en los obreros.</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El trabajo de Palacios estaba en sintonía con otros textos académicos que algunos años antes habían intentado estudiar la temática, como la tesis de los colombianos Julio Rodríguez </w:t>
      </w:r>
      <w:proofErr w:type="spellStart"/>
      <w:r w:rsidRPr="003E7A7A">
        <w:rPr>
          <w:rFonts w:ascii="Arial" w:eastAsia="Arial" w:hAnsi="Arial" w:cs="Arial"/>
          <w:sz w:val="24"/>
          <w:szCs w:val="24"/>
        </w:rPr>
        <w:t>Piñeres</w:t>
      </w:r>
      <w:proofErr w:type="spellEnd"/>
      <w:r w:rsidRPr="003E7A7A">
        <w:rPr>
          <w:rFonts w:ascii="Arial" w:eastAsia="Arial" w:hAnsi="Arial" w:cs="Arial"/>
          <w:sz w:val="24"/>
          <w:szCs w:val="24"/>
        </w:rPr>
        <w:t>, quien publicó en 1898 el informe “</w:t>
      </w:r>
      <w:r w:rsidRPr="003E7A7A">
        <w:rPr>
          <w:rFonts w:ascii="Arial" w:eastAsia="Arial" w:hAnsi="Arial" w:cs="Arial"/>
          <w:i/>
          <w:sz w:val="24"/>
          <w:szCs w:val="24"/>
        </w:rPr>
        <w:t>Neurastenia</w:t>
      </w:r>
      <w:r w:rsidRPr="003E7A7A">
        <w:rPr>
          <w:rFonts w:ascii="Arial" w:eastAsia="Arial" w:hAnsi="Arial" w:cs="Arial"/>
          <w:sz w:val="24"/>
          <w:szCs w:val="24"/>
        </w:rPr>
        <w:t>” y Miguel María Calle, quien en 1910 presentó el artículo “</w:t>
      </w:r>
      <w:r w:rsidRPr="003E7A7A">
        <w:rPr>
          <w:rFonts w:ascii="Arial" w:eastAsia="Arial" w:hAnsi="Arial" w:cs="Arial"/>
          <w:i/>
          <w:sz w:val="24"/>
          <w:szCs w:val="24"/>
        </w:rPr>
        <w:t>Astenia de los obreros</w:t>
      </w:r>
      <w:r w:rsidRPr="003E7A7A">
        <w:rPr>
          <w:rFonts w:ascii="Arial" w:eastAsia="Arial" w:hAnsi="Arial" w:cs="Arial"/>
          <w:sz w:val="24"/>
          <w:szCs w:val="24"/>
        </w:rPr>
        <w:t>”, que hacía referencia al término genérico que abarcaba todas las modalidades de agotamiento psíquico y físico que sufrían los trabajadores.</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En su investigación, Palacios tomó la teoría de Frederick </w:t>
      </w:r>
      <w:proofErr w:type="spellStart"/>
      <w:r w:rsidRPr="003E7A7A">
        <w:rPr>
          <w:rFonts w:ascii="Arial" w:eastAsia="Arial" w:hAnsi="Arial" w:cs="Arial"/>
          <w:sz w:val="24"/>
          <w:szCs w:val="24"/>
        </w:rPr>
        <w:t>Winslow</w:t>
      </w:r>
      <w:proofErr w:type="spellEnd"/>
      <w:r w:rsidRPr="003E7A7A">
        <w:rPr>
          <w:rFonts w:ascii="Arial" w:eastAsia="Arial" w:hAnsi="Arial" w:cs="Arial"/>
          <w:sz w:val="24"/>
          <w:szCs w:val="24"/>
        </w:rPr>
        <w:t xml:space="preserve"> Taylor y su “</w:t>
      </w:r>
      <w:r w:rsidRPr="003E7A7A">
        <w:rPr>
          <w:rFonts w:ascii="Arial" w:eastAsia="Arial" w:hAnsi="Arial" w:cs="Arial"/>
          <w:i/>
          <w:sz w:val="24"/>
          <w:szCs w:val="24"/>
        </w:rPr>
        <w:t>Estudio de tiempos y movimientos”</w:t>
      </w:r>
      <w:r w:rsidRPr="003E7A7A">
        <w:rPr>
          <w:rFonts w:ascii="Arial" w:eastAsia="Arial" w:hAnsi="Arial" w:cs="Arial"/>
          <w:sz w:val="24"/>
          <w:szCs w:val="24"/>
        </w:rPr>
        <w:t xml:space="preserve"> como antecedente para analizar el sistema productivo industrial, aunque lo consideró limitado y de perspectiva restringida. En </w:t>
      </w:r>
      <w:r w:rsidRPr="003E7A7A">
        <w:rPr>
          <w:rFonts w:ascii="Arial" w:eastAsia="Arial" w:hAnsi="Arial" w:cs="Arial"/>
          <w:sz w:val="24"/>
          <w:szCs w:val="24"/>
        </w:rPr>
        <w:lastRenderedPageBreak/>
        <w:t xml:space="preserve">sentido dedica un capítulo casi íntegramente a criticarlo por no considerar la fatiga como parte del proceso productivo en las fábricas, así también por negar la armonía entre capital y trabajo.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Para llevar a cabo la comprobación de su hipótesis, montó un laboratorio específico gracias a la colaboración de las Facultades de Ciencias Económicas y de Filosofía y Letras de la Universidad de Buenos Aires.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Sus resultados fueron contundentes y reconocidos en distintos lugares del mundo. Palacios logró probar con análisis clínicos cardiológicos, de orina, presión arterial, pruebas audiovisuales y táctiles, es decir, a través de medios metodológica y empíricamente contundentes, como las jornadas de más de ocho horas, los ambientes laborales, el aire viciado y el trabajo nocturno y a destajo aceleraban considerablemente los procesos de fatiga física en distintas partes del cuerpo, así como también su influencia sobre la disminución de la atención y las capacidades de reacción.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A partir de la producción de La Fatiga, fundó otro laboratorio de </w:t>
      </w:r>
      <w:proofErr w:type="spellStart"/>
      <w:r w:rsidRPr="003E7A7A">
        <w:rPr>
          <w:rFonts w:ascii="Arial" w:eastAsia="Arial" w:hAnsi="Arial" w:cs="Arial"/>
          <w:sz w:val="24"/>
          <w:szCs w:val="24"/>
        </w:rPr>
        <w:t>psicofisiología</w:t>
      </w:r>
      <w:proofErr w:type="spellEnd"/>
      <w:r w:rsidRPr="003E7A7A">
        <w:rPr>
          <w:rFonts w:ascii="Arial" w:eastAsia="Arial" w:hAnsi="Arial" w:cs="Arial"/>
          <w:sz w:val="24"/>
          <w:szCs w:val="24"/>
        </w:rPr>
        <w:t xml:space="preserve"> experimental en la Facultad de Ciencias Jurídicas y Sociales en la Universidad Nacional de La Plata, de la cual era decano, con el fin de promover la enseñanza de las conclusiones de su investigación y profundizar los estudios en el tema.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Independientemente de las teorías sobre las cuales montó su tesis de trabajo, es indudable que los resultados obtenidos tenían por finalidad denunciar las condiciones a las que se sometía a los trabajadores, a fin de promover políticas para mejorarlas.</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i/>
          <w:sz w:val="24"/>
          <w:szCs w:val="24"/>
        </w:rPr>
        <w:t xml:space="preserve"> “La Fatiga y sus proyecciones sociales” </w:t>
      </w:r>
      <w:r w:rsidRPr="003E7A7A">
        <w:rPr>
          <w:rFonts w:ascii="Arial" w:eastAsia="Arial" w:hAnsi="Arial" w:cs="Arial"/>
          <w:sz w:val="24"/>
          <w:szCs w:val="24"/>
        </w:rPr>
        <w:t xml:space="preserve">resultó ser un aporte extraordinario en ese sentido, conformando un marco teórico y de evidencia científica estructural para el estudio de las ciencias del trabajo.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También puso en evidencia, una vez más, la capacidad y tenacidad de su autor, quien en su práctica política, a lo largo de sus diversos mandatos parlamentarios en el Senado y en la Cámara de Diputados de la Nación, impulsó una enorme cantidad de iniciativas que fueron incorporadas a la legislación laboral del siglo XX.</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Además dejó su huella en el mundo académico, como rector de la Universidad de La Plata, decano de la Facultad de Derecho y profesor de la Facultad de Ciencias Económicas de la Universidad de Buenos Aires. También ocupó el lugar de Embajador en Uruguay y fue convencional constituyente en 1957.</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Su figura fue homenajeada nombrando tras sí al edificio que contiene a la Biblioteca del Congreso Nacional. En el mismo sentido, la planta principal de la Legislatura de la Ciudad lleva su nombre.</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En las facultades de la Universidad de Buenos Aires por las que pasó cuenta con sentidos homenajes. Es el caso de la biblioteca de la Facultad de Ciencias Económicas que lleva su nombre, al igual que el despacho del Director del Instituto </w:t>
      </w:r>
      <w:proofErr w:type="spellStart"/>
      <w:r w:rsidRPr="003E7A7A">
        <w:rPr>
          <w:rFonts w:ascii="Arial" w:eastAsia="Arial" w:hAnsi="Arial" w:cs="Arial"/>
          <w:sz w:val="24"/>
          <w:szCs w:val="24"/>
        </w:rPr>
        <w:t>Gioja</w:t>
      </w:r>
      <w:proofErr w:type="spellEnd"/>
      <w:r w:rsidRPr="003E7A7A">
        <w:rPr>
          <w:rFonts w:ascii="Arial" w:eastAsia="Arial" w:hAnsi="Arial" w:cs="Arial"/>
          <w:sz w:val="24"/>
          <w:szCs w:val="24"/>
        </w:rPr>
        <w:t xml:space="preserve"> de la Facultad de Derecho.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lastRenderedPageBreak/>
        <w:t xml:space="preserve">La enorme contribución y la obra de Alfredo Palacios fueron un reflejo cabal de constante y permanente lucha por de las ideas de libertad, igualdad y justicia. </w:t>
      </w:r>
    </w:p>
    <w:p w:rsidR="003E7A7A" w:rsidRPr="003E7A7A" w:rsidRDefault="003E7A7A" w:rsidP="003E7A7A">
      <w:pPr>
        <w:spacing w:before="240" w:after="240"/>
        <w:ind w:firstLine="708"/>
        <w:jc w:val="both"/>
        <w:rPr>
          <w:rFonts w:ascii="Arial" w:eastAsia="Arial" w:hAnsi="Arial" w:cs="Arial"/>
          <w:sz w:val="24"/>
          <w:szCs w:val="24"/>
        </w:rPr>
      </w:pPr>
      <w:r w:rsidRPr="003E7A7A">
        <w:rPr>
          <w:rFonts w:ascii="Arial" w:eastAsia="Arial" w:hAnsi="Arial" w:cs="Arial"/>
          <w:sz w:val="24"/>
          <w:szCs w:val="24"/>
        </w:rPr>
        <w:t xml:space="preserve">Es por todo ello que consideramos necesario que, a 100 años de su publicación, esta Legislatura celebre el aporte de La Fatiga mediante la colocación de una placa conmemorativa en </w:t>
      </w:r>
      <w:r w:rsidR="00880C66">
        <w:rPr>
          <w:rFonts w:ascii="Arial" w:eastAsia="Arial" w:hAnsi="Arial" w:cs="Arial"/>
          <w:sz w:val="24"/>
          <w:szCs w:val="24"/>
        </w:rPr>
        <w:t>la Facultad de Ciencias Económicas de la Universidad de Buenos Aires</w:t>
      </w:r>
    </w:p>
    <w:sectPr w:rsidR="003E7A7A" w:rsidRPr="003E7A7A"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CEC" w:rsidRDefault="00680CEC">
      <w:r>
        <w:separator/>
      </w:r>
    </w:p>
  </w:endnote>
  <w:endnote w:type="continuationSeparator" w:id="0">
    <w:p w:rsidR="00680CEC" w:rsidRDefault="00680C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92603C" w:rsidRPr="0092603C">
        <w:rPr>
          <w:noProof/>
          <w:color w:val="333333"/>
          <w:sz w:val="20"/>
        </w:rPr>
        <w:t>08/11/2022 9:56:00</w:t>
      </w:r>
    </w:fldSimple>
    <w:r w:rsidRPr="00D86715">
      <w:rPr>
        <w:color w:val="333333"/>
        <w:sz w:val="20"/>
      </w:rPr>
      <w:t xml:space="preserve">  -  Cantidad de caracteres: </w:t>
    </w:r>
    <w:fldSimple w:instr=" NUMCHARS  \* MERGEFORMAT ">
      <w:r w:rsidR="0092603C" w:rsidRPr="0092603C">
        <w:rPr>
          <w:noProof/>
          <w:color w:val="333333"/>
          <w:sz w:val="20"/>
        </w:rPr>
        <w:t>5458</w:t>
      </w:r>
    </w:fldSimple>
    <w:r w:rsidRPr="00D86715">
      <w:rPr>
        <w:color w:val="333333"/>
        <w:sz w:val="20"/>
      </w:rPr>
      <w:t xml:space="preserve"> - Cantidad de palabras: </w:t>
    </w:r>
    <w:fldSimple w:instr=" NUMWORDS  \* MERGEFORMAT ">
      <w:r w:rsidR="0092603C" w:rsidRPr="0092603C">
        <w:rPr>
          <w:noProof/>
          <w:color w:val="333333"/>
          <w:sz w:val="20"/>
        </w:rPr>
        <w:t>1029</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7E2E08" w:rsidRPr="00D86715">
      <w:rPr>
        <w:rStyle w:val="Nmerodepgina"/>
        <w:color w:val="333333"/>
      </w:rPr>
      <w:fldChar w:fldCharType="begin"/>
    </w:r>
    <w:r w:rsidRPr="00D86715">
      <w:rPr>
        <w:rStyle w:val="Nmerodepgina"/>
        <w:color w:val="333333"/>
      </w:rPr>
      <w:instrText xml:space="preserve"> PAGE </w:instrText>
    </w:r>
    <w:r w:rsidR="007E2E08" w:rsidRPr="00D86715">
      <w:rPr>
        <w:rStyle w:val="Nmerodepgina"/>
        <w:color w:val="333333"/>
      </w:rPr>
      <w:fldChar w:fldCharType="separate"/>
    </w:r>
    <w:r w:rsidR="0092603C">
      <w:rPr>
        <w:rStyle w:val="Nmerodepgina"/>
        <w:noProof/>
        <w:color w:val="333333"/>
      </w:rPr>
      <w:t>2</w:t>
    </w:r>
    <w:r w:rsidR="007E2E08" w:rsidRPr="00D86715">
      <w:rPr>
        <w:rStyle w:val="Nmerodepgina"/>
        <w:color w:val="333333"/>
      </w:rPr>
      <w:fldChar w:fldCharType="end"/>
    </w:r>
    <w:r w:rsidRPr="00D86715">
      <w:rPr>
        <w:rStyle w:val="Nmerodepgina"/>
        <w:color w:val="333333"/>
      </w:rPr>
      <w:t>/</w:t>
    </w:r>
    <w:fldSimple w:instr=" NUMPAGES  \* MERGEFORMAT ">
      <w:r w:rsidR="0092603C" w:rsidRPr="0092603C">
        <w:rPr>
          <w:rStyle w:val="Nmerodepgina"/>
          <w:noProof/>
          <w:color w:val="333333"/>
        </w:rPr>
        <w:t>4</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CEC" w:rsidRDefault="00680CEC">
      <w:r>
        <w:separator/>
      </w:r>
    </w:p>
  </w:footnote>
  <w:footnote w:type="continuationSeparator" w:id="0">
    <w:p w:rsidR="00680CEC" w:rsidRDefault="00680CEC">
      <w:r>
        <w:continuationSeparator/>
      </w:r>
    </w:p>
  </w:footnote>
  <w:footnote w:id="1">
    <w:p w:rsidR="003E7A7A" w:rsidRPr="003E7A7A" w:rsidRDefault="003E7A7A" w:rsidP="003E7A7A">
      <w:pPr>
        <w:pStyle w:val="Textonotapie"/>
        <w:rPr>
          <w:rFonts w:ascii="Arial" w:hAnsi="Arial" w:cs="Arial"/>
          <w:sz w:val="18"/>
        </w:rPr>
      </w:pPr>
      <w:r w:rsidRPr="003E7A7A">
        <w:rPr>
          <w:rStyle w:val="Refdenotaalpie"/>
          <w:rFonts w:ascii="Arial" w:hAnsi="Arial" w:cs="Arial"/>
          <w:sz w:val="18"/>
        </w:rPr>
        <w:footnoteRef/>
      </w:r>
      <w:r w:rsidRPr="003E7A7A">
        <w:rPr>
          <w:rFonts w:ascii="Arial" w:hAnsi="Arial" w:cs="Arial"/>
          <w:sz w:val="18"/>
        </w:rPr>
        <w:t xml:space="preserve"> Palacios, Alfredo L. </w:t>
      </w:r>
      <w:r w:rsidRPr="003E7A7A">
        <w:rPr>
          <w:rFonts w:ascii="Arial" w:hAnsi="Arial" w:cs="Arial"/>
          <w:i/>
          <w:iCs/>
          <w:sz w:val="18"/>
        </w:rPr>
        <w:t>La Fatiga y sus Proyecciones Sociales</w:t>
      </w:r>
      <w:r w:rsidRPr="003E7A7A">
        <w:rPr>
          <w:rFonts w:ascii="Arial" w:hAnsi="Arial" w:cs="Arial"/>
          <w:sz w:val="18"/>
        </w:rPr>
        <w:t>. Facultad de Ciencias Económicas. 1922. PP. 45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A52"/>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728D"/>
    <w:rsid w:val="002327DE"/>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E7A7A"/>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80CEC"/>
    <w:rsid w:val="006811D6"/>
    <w:rsid w:val="0068481F"/>
    <w:rsid w:val="00690392"/>
    <w:rsid w:val="0069234C"/>
    <w:rsid w:val="00697F98"/>
    <w:rsid w:val="006B08B9"/>
    <w:rsid w:val="006B2338"/>
    <w:rsid w:val="006C326A"/>
    <w:rsid w:val="006C40E9"/>
    <w:rsid w:val="006D3303"/>
    <w:rsid w:val="006D3B31"/>
    <w:rsid w:val="006D5CB7"/>
    <w:rsid w:val="006E09F8"/>
    <w:rsid w:val="006E3675"/>
    <w:rsid w:val="006E607C"/>
    <w:rsid w:val="006E6760"/>
    <w:rsid w:val="00705AB4"/>
    <w:rsid w:val="00706B8E"/>
    <w:rsid w:val="00707E0B"/>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78C"/>
    <w:rsid w:val="007E2AB2"/>
    <w:rsid w:val="007E2E08"/>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0C66"/>
    <w:rsid w:val="008844BF"/>
    <w:rsid w:val="0088546A"/>
    <w:rsid w:val="00885B0A"/>
    <w:rsid w:val="00890C59"/>
    <w:rsid w:val="00890E2F"/>
    <w:rsid w:val="008938E5"/>
    <w:rsid w:val="008A3142"/>
    <w:rsid w:val="008B4536"/>
    <w:rsid w:val="008B4FEA"/>
    <w:rsid w:val="008B7E26"/>
    <w:rsid w:val="008C4AC3"/>
    <w:rsid w:val="008D2CE0"/>
    <w:rsid w:val="00906685"/>
    <w:rsid w:val="00910E0F"/>
    <w:rsid w:val="0091690E"/>
    <w:rsid w:val="0092603C"/>
    <w:rsid w:val="00947238"/>
    <w:rsid w:val="00956929"/>
    <w:rsid w:val="009624FC"/>
    <w:rsid w:val="0096461D"/>
    <w:rsid w:val="00970DC8"/>
    <w:rsid w:val="009711E8"/>
    <w:rsid w:val="0098606F"/>
    <w:rsid w:val="009953AF"/>
    <w:rsid w:val="00996E34"/>
    <w:rsid w:val="009A6E2B"/>
    <w:rsid w:val="009B4FAC"/>
    <w:rsid w:val="009C053E"/>
    <w:rsid w:val="009C20D3"/>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741E3"/>
    <w:rsid w:val="00B85EE2"/>
    <w:rsid w:val="00BC7A1B"/>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21279"/>
    <w:rsid w:val="00D22CDC"/>
    <w:rsid w:val="00D360DF"/>
    <w:rsid w:val="00D43AA2"/>
    <w:rsid w:val="00D518DB"/>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23B0D"/>
    <w:rsid w:val="00E30CFF"/>
    <w:rsid w:val="00E41DE7"/>
    <w:rsid w:val="00E43430"/>
    <w:rsid w:val="00E446D6"/>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0E4D-E970-4BB8-844B-EF76983DE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4</Pages>
  <Words>1033</Words>
  <Characters>5477</Characters>
  <Application>Microsoft Office Word</Application>
  <DocSecurity>0</DocSecurity>
  <Lines>107</Lines>
  <Paragraphs>41</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5</cp:revision>
  <cp:lastPrinted>2018-03-01T20:40:00Z</cp:lastPrinted>
  <dcterms:created xsi:type="dcterms:W3CDTF">2022-11-08T12:46:00Z</dcterms:created>
  <dcterms:modified xsi:type="dcterms:W3CDTF">2022-11-08T12:57:00Z</dcterms:modified>
</cp:coreProperties>
</file>