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9A3" w:rsidRPr="00D759A3" w:rsidRDefault="00D759A3" w:rsidP="00D759A3">
      <w:pPr>
        <w:pStyle w:val="normal0"/>
        <w:spacing w:line="360" w:lineRule="auto"/>
        <w:ind w:left="2831" w:firstLine="1"/>
        <w:jc w:val="both"/>
        <w:rPr>
          <w:rFonts w:ascii="Times New Roman" w:eastAsia="Times New Roman" w:hAnsi="Times New Roman" w:cs="Times New Roman"/>
          <w:b/>
          <w:sz w:val="24"/>
          <w:szCs w:val="24"/>
        </w:rPr>
      </w:pPr>
      <w:bookmarkStart w:id="0" w:name="_GoBack"/>
      <w:bookmarkEnd w:id="0"/>
      <w:r w:rsidRPr="00D759A3">
        <w:rPr>
          <w:rFonts w:ascii="Times New Roman" w:eastAsia="Times New Roman" w:hAnsi="Times New Roman" w:cs="Times New Roman"/>
          <w:b/>
          <w:sz w:val="24"/>
          <w:szCs w:val="24"/>
        </w:rPr>
        <w:t>PROYECTO DE LEY</w:t>
      </w:r>
    </w:p>
    <w:p w:rsidR="00D759A3" w:rsidRPr="00D759A3" w:rsidRDefault="00D759A3" w:rsidP="00D759A3">
      <w:pPr>
        <w:pStyle w:val="normal0"/>
        <w:spacing w:line="360" w:lineRule="auto"/>
        <w:ind w:firstLine="709"/>
        <w:jc w:val="both"/>
        <w:rPr>
          <w:rFonts w:ascii="Times New Roman" w:eastAsia="Times New Roman" w:hAnsi="Times New Roman" w:cs="Times New Roman"/>
          <w:b/>
          <w:sz w:val="24"/>
          <w:szCs w:val="24"/>
        </w:rPr>
      </w:pPr>
    </w:p>
    <w:p w:rsidR="00D759A3" w:rsidRPr="00D759A3" w:rsidRDefault="00D759A3" w:rsidP="00D759A3">
      <w:pPr>
        <w:pStyle w:val="normal0"/>
        <w:spacing w:line="360" w:lineRule="auto"/>
        <w:ind w:firstLine="709"/>
        <w:jc w:val="both"/>
        <w:rPr>
          <w:rFonts w:ascii="Times New Roman" w:eastAsia="Times New Roman" w:hAnsi="Times New Roman" w:cs="Times New Roman"/>
          <w:b/>
          <w:sz w:val="24"/>
          <w:szCs w:val="24"/>
        </w:rPr>
      </w:pPr>
      <w:bookmarkStart w:id="1" w:name="_gjdgxs" w:colFirst="0" w:colLast="0"/>
      <w:bookmarkEnd w:id="1"/>
      <w:r w:rsidRPr="00D759A3">
        <w:rPr>
          <w:rFonts w:ascii="Times New Roman" w:eastAsia="Times New Roman" w:hAnsi="Times New Roman" w:cs="Times New Roman"/>
          <w:b/>
          <w:sz w:val="24"/>
          <w:szCs w:val="24"/>
        </w:rPr>
        <w:t>Ley de regularización de la actividad de venta en el espacio público</w:t>
      </w:r>
    </w:p>
    <w:p w:rsidR="00D759A3" w:rsidRPr="00D759A3" w:rsidRDefault="00D759A3" w:rsidP="00D759A3">
      <w:pPr>
        <w:pStyle w:val="normal0"/>
        <w:spacing w:line="360" w:lineRule="auto"/>
        <w:ind w:firstLine="709"/>
        <w:jc w:val="both"/>
        <w:rPr>
          <w:rFonts w:ascii="Times New Roman" w:eastAsia="Times New Roman" w:hAnsi="Times New Roman" w:cs="Times New Roman"/>
          <w:b/>
          <w:sz w:val="24"/>
          <w:szCs w:val="24"/>
        </w:rPr>
      </w:pPr>
      <w:bookmarkStart w:id="2" w:name="_8m6bbm733i7r" w:colFirst="0" w:colLast="0"/>
      <w:bookmarkEnd w:id="2"/>
    </w:p>
    <w:p w:rsidR="00D759A3" w:rsidRPr="00D759A3" w:rsidRDefault="00D759A3" w:rsidP="00D759A3">
      <w:pPr>
        <w:pStyle w:val="normal0"/>
        <w:spacing w:line="360" w:lineRule="auto"/>
        <w:ind w:firstLine="709"/>
        <w:jc w:val="both"/>
        <w:rPr>
          <w:rFonts w:ascii="Times New Roman" w:eastAsia="Times New Roman" w:hAnsi="Times New Roman" w:cs="Times New Roman"/>
          <w:b/>
          <w:sz w:val="24"/>
          <w:szCs w:val="24"/>
        </w:rPr>
      </w:pPr>
      <w:bookmarkStart w:id="3" w:name="_qmoyrahyos57" w:colFirst="0" w:colLast="0"/>
      <w:bookmarkEnd w:id="3"/>
      <w:r w:rsidRPr="00D759A3">
        <w:rPr>
          <w:rFonts w:ascii="Times New Roman" w:eastAsia="Times New Roman" w:hAnsi="Times New Roman" w:cs="Times New Roman"/>
          <w:b/>
          <w:sz w:val="24"/>
          <w:szCs w:val="24"/>
        </w:rPr>
        <w:t>ÍNDICE:</w:t>
      </w:r>
    </w:p>
    <w:p w:rsidR="00D759A3" w:rsidRPr="00D759A3" w:rsidRDefault="00D759A3" w:rsidP="00D759A3">
      <w:pPr>
        <w:pStyle w:val="normal0"/>
        <w:spacing w:line="360" w:lineRule="auto"/>
        <w:ind w:firstLine="709"/>
        <w:jc w:val="both"/>
        <w:rPr>
          <w:rFonts w:ascii="Times New Roman" w:eastAsia="Times New Roman" w:hAnsi="Times New Roman" w:cs="Times New Roman"/>
          <w:b/>
          <w:sz w:val="24"/>
          <w:szCs w:val="24"/>
        </w:rPr>
      </w:pPr>
      <w:bookmarkStart w:id="4" w:name="_qyi7x67banso" w:colFirst="0" w:colLast="0"/>
      <w:bookmarkEnd w:id="4"/>
      <w:r w:rsidRPr="00D759A3">
        <w:rPr>
          <w:rFonts w:ascii="Times New Roman" w:eastAsia="Times New Roman" w:hAnsi="Times New Roman" w:cs="Times New Roman"/>
          <w:b/>
          <w:sz w:val="24"/>
          <w:szCs w:val="24"/>
        </w:rPr>
        <w:t>Título I: Disposiciones Generales</w:t>
      </w:r>
    </w:p>
    <w:p w:rsidR="00D759A3" w:rsidRPr="00D759A3" w:rsidRDefault="00D759A3" w:rsidP="00D759A3">
      <w:pPr>
        <w:pStyle w:val="normal0"/>
        <w:spacing w:line="360" w:lineRule="auto"/>
        <w:ind w:firstLine="709"/>
        <w:jc w:val="both"/>
        <w:rPr>
          <w:rFonts w:ascii="Times New Roman" w:eastAsia="Times New Roman" w:hAnsi="Times New Roman" w:cs="Times New Roman"/>
          <w:b/>
          <w:sz w:val="24"/>
          <w:szCs w:val="24"/>
        </w:rPr>
      </w:pPr>
      <w:r w:rsidRPr="00D759A3">
        <w:rPr>
          <w:rFonts w:ascii="Times New Roman" w:eastAsia="Times New Roman" w:hAnsi="Times New Roman" w:cs="Times New Roman"/>
          <w:b/>
          <w:sz w:val="24"/>
          <w:szCs w:val="24"/>
        </w:rPr>
        <w:t>Título II: Del relevamiento de vendedores del Espacio Público</w:t>
      </w:r>
    </w:p>
    <w:p w:rsidR="00D759A3" w:rsidRPr="00D759A3" w:rsidRDefault="00D759A3" w:rsidP="00D759A3">
      <w:pPr>
        <w:pStyle w:val="normal0"/>
        <w:spacing w:line="360" w:lineRule="auto"/>
        <w:ind w:firstLine="709"/>
        <w:jc w:val="both"/>
        <w:rPr>
          <w:rFonts w:ascii="Times New Roman" w:eastAsia="Times New Roman" w:hAnsi="Times New Roman" w:cs="Times New Roman"/>
          <w:sz w:val="24"/>
          <w:szCs w:val="24"/>
          <w:shd w:val="clear" w:color="auto" w:fill="EA9999"/>
        </w:rPr>
      </w:pPr>
      <w:bookmarkStart w:id="5" w:name="_b2wneswmivx4" w:colFirst="0" w:colLast="0"/>
      <w:bookmarkEnd w:id="5"/>
      <w:r w:rsidRPr="00D759A3">
        <w:rPr>
          <w:rFonts w:ascii="Times New Roman" w:eastAsia="Times New Roman" w:hAnsi="Times New Roman" w:cs="Times New Roman"/>
          <w:b/>
          <w:sz w:val="24"/>
          <w:szCs w:val="24"/>
        </w:rPr>
        <w:t>Título III: Del Registro de los espacios públicos destinados a la venta</w:t>
      </w:r>
    </w:p>
    <w:p w:rsidR="00D759A3" w:rsidRPr="00D759A3" w:rsidRDefault="00D759A3" w:rsidP="00D759A3">
      <w:pPr>
        <w:pStyle w:val="normal0"/>
        <w:spacing w:line="360" w:lineRule="auto"/>
        <w:ind w:firstLine="709"/>
        <w:jc w:val="both"/>
        <w:rPr>
          <w:rFonts w:ascii="Times New Roman" w:eastAsia="Times New Roman" w:hAnsi="Times New Roman" w:cs="Times New Roman"/>
          <w:b/>
          <w:sz w:val="24"/>
          <w:szCs w:val="24"/>
        </w:rPr>
      </w:pPr>
      <w:r w:rsidRPr="00D759A3">
        <w:rPr>
          <w:rFonts w:ascii="Times New Roman" w:eastAsia="Times New Roman" w:hAnsi="Times New Roman" w:cs="Times New Roman"/>
          <w:b/>
          <w:sz w:val="24"/>
          <w:szCs w:val="24"/>
        </w:rPr>
        <w:t xml:space="preserve">Título IV: De los permisos de venta en el espacio público </w:t>
      </w:r>
    </w:p>
    <w:p w:rsidR="00D759A3" w:rsidRPr="00D759A3" w:rsidRDefault="00D759A3" w:rsidP="00D759A3">
      <w:pPr>
        <w:pStyle w:val="normal0"/>
        <w:spacing w:line="360" w:lineRule="auto"/>
        <w:ind w:firstLine="709"/>
        <w:jc w:val="both"/>
        <w:rPr>
          <w:rFonts w:ascii="Times New Roman" w:eastAsia="Times New Roman" w:hAnsi="Times New Roman" w:cs="Times New Roman"/>
          <w:b/>
          <w:sz w:val="24"/>
          <w:szCs w:val="24"/>
        </w:rPr>
      </w:pPr>
      <w:bookmarkStart w:id="6" w:name="_iakhfkpzj47r" w:colFirst="0" w:colLast="0"/>
      <w:bookmarkEnd w:id="6"/>
      <w:r w:rsidRPr="00D759A3">
        <w:rPr>
          <w:rFonts w:ascii="Times New Roman" w:eastAsia="Times New Roman" w:hAnsi="Times New Roman" w:cs="Times New Roman"/>
          <w:b/>
          <w:sz w:val="24"/>
          <w:szCs w:val="24"/>
        </w:rPr>
        <w:t>Título V: De las responsabilidades de las/os permisionarias/os</w:t>
      </w:r>
    </w:p>
    <w:p w:rsidR="00D759A3" w:rsidRPr="00D759A3" w:rsidRDefault="00D759A3" w:rsidP="00D759A3">
      <w:pPr>
        <w:pStyle w:val="normal0"/>
        <w:spacing w:line="360" w:lineRule="auto"/>
        <w:jc w:val="both"/>
        <w:rPr>
          <w:rFonts w:ascii="Times New Roman" w:eastAsia="Times New Roman" w:hAnsi="Times New Roman" w:cs="Times New Roman"/>
          <w:b/>
          <w:sz w:val="24"/>
          <w:szCs w:val="24"/>
        </w:rPr>
      </w:pPr>
      <w:bookmarkStart w:id="7" w:name="_h94ah5nv0wg4" w:colFirst="0" w:colLast="0"/>
      <w:bookmarkEnd w:id="7"/>
    </w:p>
    <w:p w:rsidR="00D759A3" w:rsidRPr="00D759A3" w:rsidRDefault="00D759A3" w:rsidP="00D759A3">
      <w:pPr>
        <w:pStyle w:val="normal0"/>
        <w:spacing w:line="360" w:lineRule="auto"/>
        <w:ind w:firstLine="709"/>
        <w:jc w:val="both"/>
        <w:rPr>
          <w:rFonts w:ascii="Times New Roman" w:eastAsia="Times New Roman" w:hAnsi="Times New Roman" w:cs="Times New Roman"/>
          <w:b/>
          <w:sz w:val="24"/>
          <w:szCs w:val="24"/>
        </w:rPr>
      </w:pPr>
      <w:bookmarkStart w:id="8" w:name="_p4qx2prqesdf" w:colFirst="0" w:colLast="0"/>
      <w:bookmarkEnd w:id="8"/>
    </w:p>
    <w:p w:rsidR="00D759A3" w:rsidRPr="00D759A3" w:rsidRDefault="00D759A3" w:rsidP="00D759A3">
      <w:pPr>
        <w:pStyle w:val="Ttulo"/>
        <w:spacing w:line="360" w:lineRule="auto"/>
        <w:ind w:left="2831" w:firstLine="709"/>
        <w:jc w:val="both"/>
        <w:rPr>
          <w:rFonts w:ascii="Times New Roman" w:eastAsia="Times New Roman" w:hAnsi="Times New Roman" w:cs="Times New Roman"/>
          <w:b/>
          <w:sz w:val="24"/>
          <w:szCs w:val="24"/>
        </w:rPr>
      </w:pPr>
      <w:bookmarkStart w:id="9" w:name="_o4x6yk2z4md8" w:colFirst="0" w:colLast="0"/>
      <w:bookmarkEnd w:id="9"/>
      <w:r w:rsidRPr="00D759A3">
        <w:rPr>
          <w:rFonts w:ascii="Times New Roman" w:eastAsia="Times New Roman" w:hAnsi="Times New Roman" w:cs="Times New Roman"/>
          <w:b/>
          <w:sz w:val="24"/>
          <w:szCs w:val="24"/>
        </w:rPr>
        <w:t>TÍTULO I</w:t>
      </w:r>
    </w:p>
    <w:p w:rsidR="00D759A3" w:rsidRPr="00D759A3" w:rsidRDefault="00D759A3" w:rsidP="00D759A3">
      <w:pPr>
        <w:pStyle w:val="Ttulo"/>
        <w:spacing w:line="360" w:lineRule="auto"/>
        <w:ind w:left="2124"/>
        <w:jc w:val="both"/>
        <w:rPr>
          <w:rFonts w:ascii="Times New Roman" w:eastAsia="Times New Roman" w:hAnsi="Times New Roman" w:cs="Times New Roman"/>
          <w:b/>
          <w:sz w:val="24"/>
          <w:szCs w:val="24"/>
        </w:rPr>
      </w:pPr>
      <w:bookmarkStart w:id="10" w:name="_tsc67h32v47u" w:colFirst="0" w:colLast="0"/>
      <w:bookmarkEnd w:id="10"/>
      <w:r w:rsidRPr="00D759A3">
        <w:rPr>
          <w:rFonts w:ascii="Times New Roman" w:eastAsia="Times New Roman" w:hAnsi="Times New Roman" w:cs="Times New Roman"/>
          <w:b/>
          <w:sz w:val="24"/>
          <w:szCs w:val="24"/>
        </w:rPr>
        <w:t>DISPOSICIONES GENERALES</w:t>
      </w:r>
    </w:p>
    <w:p w:rsidR="00D759A3" w:rsidRPr="00D759A3" w:rsidRDefault="00D759A3" w:rsidP="00D759A3">
      <w:pPr>
        <w:pStyle w:val="normal0"/>
        <w:spacing w:line="360" w:lineRule="auto"/>
        <w:ind w:firstLine="709"/>
        <w:jc w:val="both"/>
        <w:rPr>
          <w:rFonts w:ascii="Times New Roman" w:eastAsia="Times New Roman" w:hAnsi="Times New Roman" w:cs="Times New Roman"/>
          <w:b/>
          <w:sz w:val="24"/>
          <w:szCs w:val="24"/>
        </w:rPr>
      </w:pPr>
      <w:bookmarkStart w:id="11" w:name="_8q5t284436da" w:colFirst="0" w:colLast="0"/>
      <w:bookmarkEnd w:id="11"/>
    </w:p>
    <w:p w:rsidR="00D759A3" w:rsidRPr="00D759A3" w:rsidRDefault="00D759A3" w:rsidP="00D759A3">
      <w:pPr>
        <w:pStyle w:val="normal0"/>
        <w:spacing w:line="360" w:lineRule="auto"/>
        <w:ind w:firstLine="709"/>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 xml:space="preserve">Artículo 1°.- Objeto. </w:t>
      </w:r>
      <w:r w:rsidRPr="00D759A3">
        <w:rPr>
          <w:rFonts w:ascii="Times New Roman" w:eastAsia="Times New Roman" w:hAnsi="Times New Roman" w:cs="Times New Roman"/>
          <w:sz w:val="24"/>
          <w:szCs w:val="24"/>
        </w:rPr>
        <w:t xml:space="preserve">La presente ley tiene por finalidad  regular el ejercicio de la actividad de venta en el espacio público al por menor, por cuenta propia, con puesto fijo desmontable o permanente en todo el ámbito de la Ciudad Autónoma de Buenos Aires. </w:t>
      </w:r>
    </w:p>
    <w:p w:rsidR="00D759A3" w:rsidRPr="00D759A3" w:rsidRDefault="00D759A3" w:rsidP="00D759A3">
      <w:pPr>
        <w:pStyle w:val="normal0"/>
        <w:spacing w:line="360" w:lineRule="auto"/>
        <w:ind w:firstLine="709"/>
        <w:jc w:val="both"/>
        <w:rPr>
          <w:rFonts w:ascii="Times New Roman" w:eastAsia="Times New Roman" w:hAnsi="Times New Roman" w:cs="Times New Roman"/>
          <w:sz w:val="24"/>
          <w:szCs w:val="24"/>
        </w:rPr>
      </w:pPr>
    </w:p>
    <w:p w:rsidR="00D759A3" w:rsidRPr="00D759A3" w:rsidRDefault="00D759A3" w:rsidP="00D759A3">
      <w:pPr>
        <w:pStyle w:val="normal0"/>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2°.</w:t>
      </w:r>
      <w:r w:rsidRPr="00D759A3">
        <w:rPr>
          <w:rFonts w:ascii="Times New Roman" w:eastAsia="Times New Roman" w:hAnsi="Times New Roman" w:cs="Times New Roman"/>
          <w:sz w:val="24"/>
          <w:szCs w:val="24"/>
        </w:rPr>
        <w:t xml:space="preserve">- </w:t>
      </w:r>
      <w:r w:rsidRPr="00D759A3">
        <w:rPr>
          <w:rFonts w:ascii="Times New Roman" w:eastAsia="Times New Roman" w:hAnsi="Times New Roman" w:cs="Times New Roman"/>
          <w:b/>
          <w:sz w:val="24"/>
          <w:szCs w:val="24"/>
        </w:rPr>
        <w:t>Principios.</w:t>
      </w:r>
      <w:r w:rsidRPr="00D759A3">
        <w:rPr>
          <w:rFonts w:ascii="Times New Roman" w:eastAsia="Times New Roman" w:hAnsi="Times New Roman" w:cs="Times New Roman"/>
          <w:sz w:val="24"/>
          <w:szCs w:val="24"/>
        </w:rPr>
        <w:t xml:space="preserve"> La presente ley se regirá por los siguientes principios:</w:t>
      </w:r>
    </w:p>
    <w:p w:rsidR="00D759A3" w:rsidRPr="00D759A3" w:rsidRDefault="00D759A3" w:rsidP="00D759A3">
      <w:pPr>
        <w:pStyle w:val="normal0"/>
        <w:numPr>
          <w:ilvl w:val="0"/>
          <w:numId w:val="10"/>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derecho al trabajo.</w:t>
      </w:r>
    </w:p>
    <w:p w:rsidR="00D759A3" w:rsidRPr="00D759A3" w:rsidRDefault="00D759A3" w:rsidP="00D759A3">
      <w:pPr>
        <w:pStyle w:val="normal0"/>
        <w:numPr>
          <w:ilvl w:val="0"/>
          <w:numId w:val="10"/>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759A3">
        <w:rPr>
          <w:rFonts w:ascii="Times New Roman" w:eastAsia="Times New Roman" w:hAnsi="Times New Roman" w:cs="Times New Roman"/>
          <w:color w:val="000000"/>
          <w:sz w:val="24"/>
          <w:szCs w:val="24"/>
        </w:rPr>
        <w:t>El interés colectivo</w:t>
      </w:r>
      <w:r>
        <w:rPr>
          <w:rFonts w:ascii="Times New Roman" w:eastAsia="Times New Roman" w:hAnsi="Times New Roman" w:cs="Times New Roman"/>
          <w:sz w:val="24"/>
          <w:szCs w:val="24"/>
        </w:rPr>
        <w:t>.</w:t>
      </w:r>
    </w:p>
    <w:p w:rsidR="00D759A3" w:rsidRPr="00D759A3" w:rsidRDefault="00D759A3" w:rsidP="00D759A3">
      <w:pPr>
        <w:pStyle w:val="normal0"/>
        <w:numPr>
          <w:ilvl w:val="0"/>
          <w:numId w:val="10"/>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759A3">
        <w:rPr>
          <w:rFonts w:ascii="Times New Roman" w:eastAsia="Times New Roman" w:hAnsi="Times New Roman" w:cs="Times New Roman"/>
          <w:color w:val="000000"/>
          <w:sz w:val="24"/>
          <w:szCs w:val="24"/>
        </w:rPr>
        <w:t>El respeto a la identidad cultural</w:t>
      </w:r>
      <w:r>
        <w:rPr>
          <w:rFonts w:ascii="Times New Roman" w:eastAsia="Times New Roman" w:hAnsi="Times New Roman" w:cs="Times New Roman"/>
          <w:color w:val="000000"/>
          <w:sz w:val="24"/>
          <w:szCs w:val="24"/>
        </w:rPr>
        <w:t>.</w:t>
      </w:r>
    </w:p>
    <w:p w:rsidR="00D759A3" w:rsidRPr="00D759A3" w:rsidRDefault="00D759A3" w:rsidP="00D759A3">
      <w:pPr>
        <w:pStyle w:val="normal0"/>
        <w:numPr>
          <w:ilvl w:val="0"/>
          <w:numId w:val="10"/>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759A3">
        <w:rPr>
          <w:rFonts w:ascii="Times New Roman" w:eastAsia="Times New Roman" w:hAnsi="Times New Roman" w:cs="Times New Roman"/>
          <w:color w:val="000000"/>
          <w:sz w:val="24"/>
          <w:szCs w:val="24"/>
        </w:rPr>
        <w:t>La igualdad de género</w:t>
      </w:r>
      <w:r>
        <w:rPr>
          <w:rFonts w:ascii="Times New Roman" w:eastAsia="Times New Roman" w:hAnsi="Times New Roman" w:cs="Times New Roman"/>
          <w:color w:val="000000"/>
          <w:sz w:val="24"/>
          <w:szCs w:val="24"/>
        </w:rPr>
        <w:t>.</w:t>
      </w:r>
    </w:p>
    <w:p w:rsidR="00D759A3" w:rsidRPr="00D759A3" w:rsidRDefault="00D759A3" w:rsidP="00D759A3">
      <w:pPr>
        <w:pStyle w:val="normal0"/>
        <w:numPr>
          <w:ilvl w:val="0"/>
          <w:numId w:val="10"/>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759A3">
        <w:rPr>
          <w:rFonts w:ascii="Times New Roman" w:eastAsia="Times New Roman" w:hAnsi="Times New Roman" w:cs="Times New Roman"/>
          <w:color w:val="000000"/>
          <w:sz w:val="24"/>
          <w:szCs w:val="24"/>
        </w:rPr>
        <w:t>La autogestión</w:t>
      </w:r>
      <w:r>
        <w:rPr>
          <w:rFonts w:ascii="Times New Roman" w:eastAsia="Times New Roman" w:hAnsi="Times New Roman" w:cs="Times New Roman"/>
          <w:color w:val="000000"/>
          <w:sz w:val="24"/>
          <w:szCs w:val="24"/>
        </w:rPr>
        <w:t>.</w:t>
      </w:r>
    </w:p>
    <w:p w:rsidR="00D759A3" w:rsidRPr="00D759A3" w:rsidRDefault="00D759A3" w:rsidP="00D759A3">
      <w:pPr>
        <w:pStyle w:val="normal0"/>
        <w:numPr>
          <w:ilvl w:val="0"/>
          <w:numId w:val="10"/>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solidaridad.</w:t>
      </w:r>
    </w:p>
    <w:p w:rsidR="00D759A3" w:rsidRPr="00D759A3" w:rsidRDefault="00D759A3" w:rsidP="00D759A3">
      <w:pPr>
        <w:pStyle w:val="normal0"/>
        <w:pBdr>
          <w:top w:val="nil"/>
          <w:left w:val="nil"/>
          <w:bottom w:val="nil"/>
          <w:right w:val="nil"/>
          <w:between w:val="nil"/>
        </w:pBdr>
        <w:spacing w:line="360" w:lineRule="auto"/>
        <w:jc w:val="both"/>
        <w:rPr>
          <w:rFonts w:ascii="Times New Roman" w:eastAsia="Times New Roman" w:hAnsi="Times New Roman" w:cs="Times New Roman"/>
          <w:sz w:val="24"/>
          <w:szCs w:val="24"/>
        </w:rPr>
      </w:pPr>
    </w:p>
    <w:p w:rsidR="00D759A3" w:rsidRPr="00D759A3" w:rsidRDefault="00D759A3" w:rsidP="00D759A3">
      <w:pPr>
        <w:pStyle w:val="normal0"/>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3°-</w:t>
      </w:r>
      <w:r w:rsidRPr="00D759A3">
        <w:rPr>
          <w:rFonts w:ascii="Times New Roman" w:eastAsia="Times New Roman" w:hAnsi="Times New Roman" w:cs="Times New Roman"/>
          <w:sz w:val="24"/>
          <w:szCs w:val="24"/>
        </w:rPr>
        <w:t xml:space="preserve"> </w:t>
      </w:r>
      <w:r w:rsidRPr="00D759A3">
        <w:rPr>
          <w:rFonts w:ascii="Times New Roman" w:eastAsia="Times New Roman" w:hAnsi="Times New Roman" w:cs="Times New Roman"/>
          <w:b/>
          <w:sz w:val="24"/>
          <w:szCs w:val="24"/>
        </w:rPr>
        <w:t>Modalidades de venta en el espacio público.</w:t>
      </w:r>
      <w:r w:rsidRPr="00D759A3">
        <w:rPr>
          <w:rFonts w:ascii="Times New Roman" w:eastAsia="Times New Roman" w:hAnsi="Times New Roman" w:cs="Times New Roman"/>
          <w:sz w:val="24"/>
          <w:szCs w:val="24"/>
        </w:rPr>
        <w:t xml:space="preserve"> Establézcase las siguientes modalidades para el desarrollo de las actividades comerciales en el espacio público comprendidas en  esta ley:</w:t>
      </w:r>
    </w:p>
    <w:p w:rsidR="00D759A3" w:rsidRPr="00D759A3" w:rsidRDefault="00D759A3" w:rsidP="00D759A3">
      <w:pPr>
        <w:pStyle w:val="normal0"/>
        <w:numPr>
          <w:ilvl w:val="0"/>
          <w:numId w:val="2"/>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Venta con puesto fijo desmontable: es aquella modal</w:t>
      </w:r>
      <w:r>
        <w:rPr>
          <w:rFonts w:ascii="Times New Roman" w:eastAsia="Times New Roman" w:hAnsi="Times New Roman" w:cs="Times New Roman"/>
          <w:sz w:val="24"/>
          <w:szCs w:val="24"/>
        </w:rPr>
        <w:t>idad en la cual el/la vendedor/</w:t>
      </w:r>
      <w:r w:rsidRPr="00D759A3">
        <w:rPr>
          <w:rFonts w:ascii="Times New Roman" w:eastAsia="Times New Roman" w:hAnsi="Times New Roman" w:cs="Times New Roman"/>
          <w:sz w:val="24"/>
          <w:szCs w:val="24"/>
        </w:rPr>
        <w:t>a ejerce su actividad ubicándose en un lugar fijo debidamente autorizado, instalando y desmontando su puesto diariamente.</w:t>
      </w:r>
    </w:p>
    <w:p w:rsidR="00D759A3" w:rsidRPr="00D759A3" w:rsidRDefault="00D759A3" w:rsidP="00D759A3">
      <w:pPr>
        <w:pStyle w:val="normal0"/>
        <w:numPr>
          <w:ilvl w:val="0"/>
          <w:numId w:val="2"/>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Venta con puesto fijo permanente: es aquella modali</w:t>
      </w:r>
      <w:r>
        <w:rPr>
          <w:rFonts w:ascii="Times New Roman" w:eastAsia="Times New Roman" w:hAnsi="Times New Roman" w:cs="Times New Roman"/>
          <w:sz w:val="24"/>
          <w:szCs w:val="24"/>
        </w:rPr>
        <w:t>dad en la cual el/la vendedor/</w:t>
      </w:r>
      <w:r w:rsidRPr="00D759A3">
        <w:rPr>
          <w:rFonts w:ascii="Times New Roman" w:eastAsia="Times New Roman" w:hAnsi="Times New Roman" w:cs="Times New Roman"/>
          <w:sz w:val="24"/>
          <w:szCs w:val="24"/>
        </w:rPr>
        <w:t>a ocupa un espacio público durante un tiempo prolongado y cuyo puesto no es desmontado diariamente.</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4°-</w:t>
      </w:r>
      <w:r w:rsidRPr="00D759A3">
        <w:rPr>
          <w:rFonts w:ascii="Times New Roman" w:eastAsia="Times New Roman" w:hAnsi="Times New Roman" w:cs="Times New Roman"/>
          <w:sz w:val="24"/>
          <w:szCs w:val="24"/>
        </w:rPr>
        <w:t xml:space="preserve"> </w:t>
      </w:r>
      <w:r w:rsidRPr="00D759A3">
        <w:rPr>
          <w:rFonts w:ascii="Times New Roman" w:eastAsia="Times New Roman" w:hAnsi="Times New Roman" w:cs="Times New Roman"/>
          <w:b/>
          <w:sz w:val="24"/>
          <w:szCs w:val="24"/>
        </w:rPr>
        <w:t>Rubros autorizados.</w:t>
      </w:r>
      <w:r w:rsidRPr="00D759A3">
        <w:rPr>
          <w:rFonts w:ascii="Times New Roman" w:eastAsia="Times New Roman" w:hAnsi="Times New Roman" w:cs="Times New Roman"/>
          <w:sz w:val="24"/>
          <w:szCs w:val="24"/>
        </w:rPr>
        <w:t xml:space="preserve"> Los rubros de bienes cuya venta podrá ser autorizada mediante los permisos que otorgue la Autoridad de Aplicación para la venta en la vía pública, en el marco de esta norma son:</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p>
    <w:p w:rsidR="00D759A3" w:rsidRPr="00D759A3" w:rsidRDefault="00D759A3" w:rsidP="00D759A3">
      <w:pPr>
        <w:pStyle w:val="normal0"/>
        <w:numPr>
          <w:ilvl w:val="0"/>
          <w:numId w:val="5"/>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Productos textiles, de marroquinería, indumentaria y calzado</w:t>
      </w:r>
    </w:p>
    <w:p w:rsidR="00D759A3" w:rsidRPr="00D759A3" w:rsidRDefault="00D759A3" w:rsidP="00D759A3">
      <w:pPr>
        <w:pStyle w:val="normal0"/>
        <w:numPr>
          <w:ilvl w:val="0"/>
          <w:numId w:val="5"/>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Productos plásticos, de goma y de madera</w:t>
      </w:r>
    </w:p>
    <w:p w:rsidR="00D759A3" w:rsidRPr="00D759A3" w:rsidRDefault="00D759A3" w:rsidP="00D759A3">
      <w:pPr>
        <w:pStyle w:val="normal0"/>
        <w:numPr>
          <w:ilvl w:val="0"/>
          <w:numId w:val="5"/>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Productos regionales</w:t>
      </w:r>
    </w:p>
    <w:p w:rsidR="00D759A3" w:rsidRPr="00D759A3" w:rsidRDefault="00D759A3" w:rsidP="00D759A3">
      <w:pPr>
        <w:pStyle w:val="normal0"/>
        <w:numPr>
          <w:ilvl w:val="0"/>
          <w:numId w:val="5"/>
        </w:numPr>
        <w:spacing w:line="360" w:lineRule="auto"/>
        <w:jc w:val="both"/>
        <w:rPr>
          <w:rFonts w:ascii="Times New Roman" w:eastAsia="Times New Roman" w:hAnsi="Times New Roman" w:cs="Times New Roman"/>
          <w:sz w:val="24"/>
          <w:szCs w:val="24"/>
        </w:rPr>
      </w:pPr>
      <w:proofErr w:type="spellStart"/>
      <w:r w:rsidRPr="00D759A3">
        <w:rPr>
          <w:rFonts w:ascii="Times New Roman" w:eastAsia="Times New Roman" w:hAnsi="Times New Roman" w:cs="Times New Roman"/>
          <w:sz w:val="24"/>
          <w:szCs w:val="24"/>
        </w:rPr>
        <w:t>Bijouterie</w:t>
      </w:r>
      <w:proofErr w:type="spellEnd"/>
      <w:r w:rsidRPr="00D759A3">
        <w:rPr>
          <w:rFonts w:ascii="Times New Roman" w:eastAsia="Times New Roman" w:hAnsi="Times New Roman" w:cs="Times New Roman"/>
          <w:sz w:val="24"/>
          <w:szCs w:val="24"/>
        </w:rPr>
        <w:t xml:space="preserve"> y accesorios de moda</w:t>
      </w:r>
    </w:p>
    <w:p w:rsidR="00D759A3" w:rsidRPr="00D759A3" w:rsidRDefault="00D759A3" w:rsidP="00D759A3">
      <w:pPr>
        <w:pStyle w:val="normal0"/>
        <w:numPr>
          <w:ilvl w:val="0"/>
          <w:numId w:val="5"/>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Tarjetería y artículos de librería</w:t>
      </w:r>
    </w:p>
    <w:p w:rsidR="00D759A3" w:rsidRPr="00D759A3" w:rsidRDefault="00D759A3" w:rsidP="00D759A3">
      <w:pPr>
        <w:pStyle w:val="normal0"/>
        <w:numPr>
          <w:ilvl w:val="0"/>
          <w:numId w:val="5"/>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Accesorios para celulares</w:t>
      </w:r>
    </w:p>
    <w:p w:rsidR="00D759A3" w:rsidRPr="00D759A3" w:rsidRDefault="00D759A3" w:rsidP="00D759A3">
      <w:pPr>
        <w:pStyle w:val="normal0"/>
        <w:numPr>
          <w:ilvl w:val="0"/>
          <w:numId w:val="5"/>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Símbolos patrios y/o deportivos</w:t>
      </w:r>
    </w:p>
    <w:p w:rsidR="00D759A3" w:rsidRPr="00D759A3" w:rsidRDefault="00D759A3" w:rsidP="00D759A3">
      <w:pPr>
        <w:pStyle w:val="normal0"/>
        <w:numPr>
          <w:ilvl w:val="0"/>
          <w:numId w:val="5"/>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Artículos de carnaval</w:t>
      </w:r>
    </w:p>
    <w:p w:rsidR="00D759A3" w:rsidRPr="00D759A3" w:rsidRDefault="00D759A3" w:rsidP="00D759A3">
      <w:pPr>
        <w:pStyle w:val="normal0"/>
        <w:numPr>
          <w:ilvl w:val="0"/>
          <w:numId w:val="5"/>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Artículos de bazar y de ferretería</w:t>
      </w:r>
    </w:p>
    <w:p w:rsidR="00D759A3" w:rsidRPr="00D759A3" w:rsidRDefault="00D759A3" w:rsidP="00D759A3">
      <w:pPr>
        <w:pStyle w:val="normal0"/>
        <w:numPr>
          <w:ilvl w:val="0"/>
          <w:numId w:val="5"/>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Artesanías y manualidades</w:t>
      </w:r>
    </w:p>
    <w:p w:rsidR="00D759A3" w:rsidRPr="00D759A3" w:rsidRDefault="00D759A3" w:rsidP="00D759A3">
      <w:pPr>
        <w:pStyle w:val="normal0"/>
        <w:numPr>
          <w:ilvl w:val="0"/>
          <w:numId w:val="5"/>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Juguetes</w:t>
      </w:r>
    </w:p>
    <w:p w:rsidR="00D759A3" w:rsidRPr="00D759A3" w:rsidRDefault="00D759A3" w:rsidP="00D759A3">
      <w:pPr>
        <w:pStyle w:val="normal0"/>
        <w:numPr>
          <w:ilvl w:val="0"/>
          <w:numId w:val="5"/>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Plantas y macetas</w:t>
      </w:r>
    </w:p>
    <w:p w:rsidR="00D759A3" w:rsidRPr="00D759A3" w:rsidRDefault="00D759A3" w:rsidP="00D759A3">
      <w:pPr>
        <w:pStyle w:val="normal0"/>
        <w:numPr>
          <w:ilvl w:val="0"/>
          <w:numId w:val="5"/>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Santería</w:t>
      </w:r>
    </w:p>
    <w:p w:rsidR="00D759A3" w:rsidRPr="00D759A3" w:rsidRDefault="00D759A3" w:rsidP="00D759A3">
      <w:pPr>
        <w:pStyle w:val="normal0"/>
        <w:numPr>
          <w:ilvl w:val="0"/>
          <w:numId w:val="5"/>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Plantas, </w:t>
      </w:r>
      <w:proofErr w:type="spellStart"/>
      <w:r w:rsidRPr="00D759A3">
        <w:rPr>
          <w:rFonts w:ascii="Times New Roman" w:eastAsia="Times New Roman" w:hAnsi="Times New Roman" w:cs="Times New Roman"/>
          <w:sz w:val="24"/>
          <w:szCs w:val="24"/>
        </w:rPr>
        <w:t>plantines</w:t>
      </w:r>
      <w:proofErr w:type="spellEnd"/>
      <w:r w:rsidRPr="00D759A3">
        <w:rPr>
          <w:rFonts w:ascii="Times New Roman" w:eastAsia="Times New Roman" w:hAnsi="Times New Roman" w:cs="Times New Roman"/>
          <w:sz w:val="24"/>
          <w:szCs w:val="24"/>
        </w:rPr>
        <w:t xml:space="preserve"> y semillas</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p>
    <w:p w:rsidR="00D759A3" w:rsidRPr="00D759A3" w:rsidRDefault="00D759A3" w:rsidP="00D759A3">
      <w:pPr>
        <w:pStyle w:val="normal0"/>
        <w:spacing w:line="360" w:lineRule="auto"/>
        <w:ind w:firstLine="709"/>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5°.</w:t>
      </w:r>
      <w:r w:rsidRPr="00D759A3">
        <w:rPr>
          <w:rFonts w:ascii="Times New Roman" w:eastAsia="Times New Roman" w:hAnsi="Times New Roman" w:cs="Times New Roman"/>
          <w:sz w:val="24"/>
          <w:szCs w:val="24"/>
        </w:rPr>
        <w:t>-</w:t>
      </w:r>
      <w:r w:rsidRPr="00D759A3">
        <w:rPr>
          <w:rFonts w:ascii="Times New Roman" w:eastAsia="Times New Roman" w:hAnsi="Times New Roman" w:cs="Times New Roman"/>
          <w:b/>
          <w:sz w:val="24"/>
          <w:szCs w:val="24"/>
        </w:rPr>
        <w:t xml:space="preserve"> Autoridad de Aplicación.</w:t>
      </w:r>
      <w:r w:rsidRPr="00D759A3">
        <w:rPr>
          <w:rFonts w:ascii="Times New Roman" w:eastAsia="Times New Roman" w:hAnsi="Times New Roman" w:cs="Times New Roman"/>
          <w:sz w:val="24"/>
          <w:szCs w:val="24"/>
        </w:rPr>
        <w:t xml:space="preserve"> El Ministerio de Espacio Público e Higiene Urbana o el organismo que en el futuro lo reemplace, será la Autoridad de Aplicación de la presente norma. Serán funciones de la Autoridad de Aplicación: </w:t>
      </w:r>
    </w:p>
    <w:p w:rsidR="00D759A3" w:rsidRPr="00D759A3" w:rsidRDefault="00D759A3" w:rsidP="00D759A3">
      <w:pPr>
        <w:pStyle w:val="normal0"/>
        <w:numPr>
          <w:ilvl w:val="0"/>
          <w:numId w:val="6"/>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Implementar y actualizar el Relevamiento de Vendedores del Espacio Público (en adelante REVEP) y producir informes periódicos que den cuenta del ejercicio de la actividad objeto de regulación de la presente; </w:t>
      </w:r>
    </w:p>
    <w:p w:rsidR="00D759A3" w:rsidRPr="00D759A3" w:rsidRDefault="00D759A3" w:rsidP="00D759A3">
      <w:pPr>
        <w:pStyle w:val="normal0"/>
        <w:numPr>
          <w:ilvl w:val="0"/>
          <w:numId w:val="6"/>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Crear, difundir y actualizar, en conjunto con la Comisión de Seguimiento, el Registro de los Espacios Habilitados para la Venta en el Espacio Público (en adelante REHAVEP), determinando su zonificación;</w:t>
      </w:r>
    </w:p>
    <w:p w:rsidR="00D759A3" w:rsidRPr="00D759A3" w:rsidRDefault="00D759A3" w:rsidP="00D759A3">
      <w:pPr>
        <w:pStyle w:val="normal0"/>
        <w:numPr>
          <w:ilvl w:val="0"/>
          <w:numId w:val="6"/>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Otorgar los permisos para la venta en la vía pública de acuerdo a los criterios establecidos por la presente norm</w:t>
      </w:r>
      <w:r w:rsidRPr="00D759A3">
        <w:rPr>
          <w:rFonts w:ascii="Times New Roman" w:eastAsia="Times New Roman" w:hAnsi="Times New Roman" w:cs="Times New Roman"/>
          <w:sz w:val="24"/>
          <w:szCs w:val="24"/>
          <w:highlight w:val="white"/>
        </w:rPr>
        <w:t>a, concediendo los espacios físicos y entregando los puestos desmontables o permanentes a las/os permisionarias/os.</w:t>
      </w:r>
    </w:p>
    <w:p w:rsidR="00D759A3" w:rsidRPr="00D759A3" w:rsidRDefault="00D759A3" w:rsidP="00D759A3">
      <w:pPr>
        <w:pStyle w:val="normal0"/>
        <w:numPr>
          <w:ilvl w:val="0"/>
          <w:numId w:val="6"/>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Diseñar y producir los puestos para la venta en la vía pública, de forma tal que sean armónicos con el mobiliario urbano existente;</w:t>
      </w:r>
    </w:p>
    <w:p w:rsidR="00D759A3" w:rsidRPr="00D759A3" w:rsidRDefault="00D759A3" w:rsidP="00D759A3">
      <w:pPr>
        <w:pStyle w:val="normal0"/>
        <w:numPr>
          <w:ilvl w:val="0"/>
          <w:numId w:val="6"/>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lastRenderedPageBreak/>
        <w:t>Conformar equipos interdisciplinarios para la implementación de la presente norma desde una perspectiva de derechos, con acompañamiento para el desarrollo económico, social y técnico de las/os destinatarias/os;</w:t>
      </w:r>
    </w:p>
    <w:p w:rsidR="00D759A3" w:rsidRPr="00D759A3" w:rsidRDefault="00D759A3" w:rsidP="00D759A3">
      <w:pPr>
        <w:pStyle w:val="normal0"/>
        <w:numPr>
          <w:ilvl w:val="0"/>
          <w:numId w:val="6"/>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Difundir por todos los medios que se consideren pertinentes la información en lo relativo a esta norma y su implementación; </w:t>
      </w:r>
    </w:p>
    <w:p w:rsidR="00D759A3" w:rsidRPr="00D759A3" w:rsidRDefault="00D759A3" w:rsidP="00D759A3">
      <w:pPr>
        <w:pStyle w:val="normal0"/>
        <w:numPr>
          <w:ilvl w:val="0"/>
          <w:numId w:val="6"/>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Coordinar la Comisión de seguimiento creada en el artículo 6° de la presente norma, convocando a las reuniones de la Comisión al menos una vez por mes;</w:t>
      </w:r>
    </w:p>
    <w:p w:rsidR="00D759A3" w:rsidRPr="00D759A3" w:rsidRDefault="00D759A3" w:rsidP="00D759A3">
      <w:pPr>
        <w:pStyle w:val="normal0"/>
        <w:numPr>
          <w:ilvl w:val="0"/>
          <w:numId w:val="6"/>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Recaudar y administrar los recursos provenientes de los cánones correspondientes a la presente norma;</w:t>
      </w:r>
    </w:p>
    <w:p w:rsidR="00D759A3" w:rsidRPr="00D759A3" w:rsidRDefault="00D759A3" w:rsidP="00D759A3">
      <w:pPr>
        <w:pStyle w:val="normal0"/>
        <w:numPr>
          <w:ilvl w:val="0"/>
          <w:numId w:val="6"/>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Articular las acciones definidas en la presente norma con las disposiciones contempladas en la Ley 6.376 de 2020 para estimular el desarrollo social y económico de las Unidades Productivas de la Economía Social;</w:t>
      </w:r>
    </w:p>
    <w:p w:rsidR="00D759A3" w:rsidRPr="00D759A3" w:rsidRDefault="00D759A3" w:rsidP="00D759A3">
      <w:pPr>
        <w:pStyle w:val="normal0"/>
        <w:numPr>
          <w:ilvl w:val="0"/>
          <w:numId w:val="6"/>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Establecer una oficina de atención permanente para las/os solicitantes y permisionarias/os y canales de comunicación y difusión de la presente norma. </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6°.-</w:t>
      </w:r>
      <w:r w:rsidRPr="00D759A3">
        <w:rPr>
          <w:rFonts w:ascii="Times New Roman" w:eastAsia="Times New Roman" w:hAnsi="Times New Roman" w:cs="Times New Roman"/>
          <w:sz w:val="24"/>
          <w:szCs w:val="24"/>
        </w:rPr>
        <w:t xml:space="preserve"> </w:t>
      </w:r>
      <w:r w:rsidRPr="00D759A3">
        <w:rPr>
          <w:rFonts w:ascii="Times New Roman" w:eastAsia="Times New Roman" w:hAnsi="Times New Roman" w:cs="Times New Roman"/>
          <w:b/>
          <w:sz w:val="24"/>
          <w:szCs w:val="24"/>
        </w:rPr>
        <w:t>Comisión de seguimiento</w:t>
      </w:r>
      <w:r w:rsidRPr="00D759A3">
        <w:rPr>
          <w:rFonts w:ascii="Times New Roman" w:eastAsia="Times New Roman" w:hAnsi="Times New Roman" w:cs="Times New Roman"/>
          <w:sz w:val="24"/>
          <w:szCs w:val="24"/>
        </w:rPr>
        <w:t>. Créase una Comisión de seguimiento a fin de garantizar lo establecido en la presente norma. La misma estará conformada por:</w:t>
      </w:r>
    </w:p>
    <w:p w:rsidR="00D759A3" w:rsidRPr="00D759A3" w:rsidRDefault="00D759A3" w:rsidP="00D759A3">
      <w:pPr>
        <w:pStyle w:val="normal0"/>
        <w:numPr>
          <w:ilvl w:val="0"/>
          <w:numId w:val="3"/>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Un/a representante del Ministerio de Espacio Público e Higiene Urbana o el organismo que en el futuro lo reemplace, a cargo de la implementación de la presente Ley;  </w:t>
      </w:r>
    </w:p>
    <w:p w:rsidR="00D759A3" w:rsidRPr="00D759A3" w:rsidRDefault="00D759A3" w:rsidP="00D759A3">
      <w:pPr>
        <w:pStyle w:val="normal0"/>
        <w:numPr>
          <w:ilvl w:val="0"/>
          <w:numId w:val="3"/>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Un/a representante del Ministerio de Desarrollo Humano y Hábitat o del organismo que en el futuro lo reemplace; </w:t>
      </w:r>
    </w:p>
    <w:p w:rsidR="00D759A3" w:rsidRPr="00D759A3" w:rsidRDefault="00D759A3" w:rsidP="00D759A3">
      <w:pPr>
        <w:pStyle w:val="normal0"/>
        <w:numPr>
          <w:ilvl w:val="0"/>
          <w:numId w:val="3"/>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Un/a representante del Ministerio de Seguridad de la Ciudad o del organismo que en el futuro lo reemplace; </w:t>
      </w:r>
    </w:p>
    <w:p w:rsidR="00D759A3" w:rsidRPr="00D759A3" w:rsidRDefault="00D759A3" w:rsidP="00D759A3">
      <w:pPr>
        <w:pStyle w:val="normal0"/>
        <w:numPr>
          <w:ilvl w:val="0"/>
          <w:numId w:val="3"/>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Un/a representante asignado por el Defensor del Pueblo de la Ciudad;</w:t>
      </w:r>
    </w:p>
    <w:p w:rsidR="00D759A3" w:rsidRPr="00D759A3" w:rsidRDefault="00D759A3" w:rsidP="00D759A3">
      <w:pPr>
        <w:pStyle w:val="normal0"/>
        <w:numPr>
          <w:ilvl w:val="0"/>
          <w:numId w:val="3"/>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Un/a representante de la Comisión de Protección y Uso del Espacio Público de la Legislatura y un/a representante de la Comisión de Políticas De Promoción e Integración Social. En todos los casos el/la representante corresponderá a la segunda o tercera minoría de la Legislatura de la Ciudad;</w:t>
      </w:r>
    </w:p>
    <w:p w:rsidR="00D759A3" w:rsidRPr="00D759A3" w:rsidRDefault="00D759A3" w:rsidP="00D759A3">
      <w:pPr>
        <w:pStyle w:val="normal0"/>
        <w:numPr>
          <w:ilvl w:val="0"/>
          <w:numId w:val="3"/>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Representación y participación activa de las organizaciones sociales que representen a vendedores del Espacio público; </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p>
    <w:p w:rsidR="00D759A3" w:rsidRPr="00D759A3" w:rsidRDefault="00D759A3" w:rsidP="00D759A3">
      <w:pPr>
        <w:pStyle w:val="normal0"/>
        <w:spacing w:line="360" w:lineRule="auto"/>
        <w:ind w:firstLine="36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7°.-</w:t>
      </w:r>
      <w:r w:rsidRPr="00D759A3">
        <w:rPr>
          <w:rFonts w:ascii="Times New Roman" w:eastAsia="Times New Roman" w:hAnsi="Times New Roman" w:cs="Times New Roman"/>
          <w:sz w:val="24"/>
          <w:szCs w:val="24"/>
        </w:rPr>
        <w:t xml:space="preserve"> </w:t>
      </w:r>
      <w:r w:rsidRPr="00D759A3">
        <w:rPr>
          <w:rFonts w:ascii="Times New Roman" w:eastAsia="Times New Roman" w:hAnsi="Times New Roman" w:cs="Times New Roman"/>
          <w:b/>
          <w:sz w:val="24"/>
          <w:szCs w:val="24"/>
        </w:rPr>
        <w:t>Funciones de la Comisión de seguimiento</w:t>
      </w:r>
      <w:r w:rsidRPr="00D759A3">
        <w:rPr>
          <w:rFonts w:ascii="Times New Roman" w:eastAsia="Times New Roman" w:hAnsi="Times New Roman" w:cs="Times New Roman"/>
          <w:sz w:val="24"/>
          <w:szCs w:val="24"/>
        </w:rPr>
        <w:t>. Serán funciones de la Comisión de Seguimiento conformada en el artículo 6º:</w:t>
      </w:r>
    </w:p>
    <w:p w:rsidR="00D759A3" w:rsidRPr="00D759A3" w:rsidRDefault="00D759A3" w:rsidP="00D759A3">
      <w:pPr>
        <w:pStyle w:val="normal0"/>
        <w:numPr>
          <w:ilvl w:val="0"/>
          <w:numId w:val="8"/>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Redactar la reglamentación correspondiente a la presente Ley; </w:t>
      </w:r>
    </w:p>
    <w:p w:rsidR="00D759A3" w:rsidRPr="00D759A3" w:rsidRDefault="00D759A3" w:rsidP="00D759A3">
      <w:pPr>
        <w:pStyle w:val="normal0"/>
        <w:numPr>
          <w:ilvl w:val="0"/>
          <w:numId w:val="8"/>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lastRenderedPageBreak/>
        <w:t xml:space="preserve">Hacer acompañamiento y seguimiento de la implementación del Relevamiento de Vendedores del Espacio Público (REVEP) y analizar los resultados; </w:t>
      </w:r>
    </w:p>
    <w:p w:rsidR="00D759A3" w:rsidRPr="00D759A3" w:rsidRDefault="00D759A3" w:rsidP="00D759A3">
      <w:pPr>
        <w:pStyle w:val="normal0"/>
        <w:numPr>
          <w:ilvl w:val="0"/>
          <w:numId w:val="8"/>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Hacer acompañamiento y seguimiento de la implementación del Registro de los Espacios Habilitados para la Venta en el Espacio Público (REHAVEP); </w:t>
      </w:r>
    </w:p>
    <w:p w:rsidR="00D759A3" w:rsidRPr="00D759A3" w:rsidRDefault="00D759A3" w:rsidP="00D759A3">
      <w:pPr>
        <w:pStyle w:val="normal0"/>
        <w:numPr>
          <w:ilvl w:val="0"/>
          <w:numId w:val="8"/>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Diseñar los criterios de asignación prioritaria de los puestos fijos permanentes y desmontables, siguiendo los lineamientos establecidos por la presente norma; </w:t>
      </w:r>
    </w:p>
    <w:p w:rsidR="00D759A3" w:rsidRPr="00D759A3" w:rsidRDefault="00D759A3" w:rsidP="00D759A3">
      <w:pPr>
        <w:pStyle w:val="normal0"/>
        <w:numPr>
          <w:ilvl w:val="0"/>
          <w:numId w:val="8"/>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Hacer seguimiento de las solicitudes de nuevos permisos así como de las solicitudes de cancelación de permisos; </w:t>
      </w:r>
    </w:p>
    <w:p w:rsidR="00D759A3" w:rsidRPr="00D759A3" w:rsidRDefault="00D759A3" w:rsidP="00D759A3">
      <w:pPr>
        <w:pStyle w:val="normal0"/>
        <w:numPr>
          <w:ilvl w:val="0"/>
          <w:numId w:val="8"/>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Promover la articulación de las/os permisionarias/os de la presente con las Unidades Productivas de la Economía Popular inscritas en la  Ley 6.376 de 2020 para la comercialización de sus productos en los puestos fijos creados en esta norma; </w:t>
      </w:r>
    </w:p>
    <w:p w:rsidR="00D759A3" w:rsidRPr="00D759A3" w:rsidRDefault="00D759A3" w:rsidP="00D759A3">
      <w:pPr>
        <w:pStyle w:val="normal0"/>
        <w:numPr>
          <w:ilvl w:val="0"/>
          <w:numId w:val="8"/>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La promoción, publicidad y difusión de toda información útil y oportuna relativa a los derechos, programas de gobierno y garantías existentes para vendedores del espacio público. </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p>
    <w:p w:rsidR="00D759A3" w:rsidRPr="00D759A3" w:rsidRDefault="00D759A3" w:rsidP="00D759A3">
      <w:pPr>
        <w:pStyle w:val="Ttulo"/>
        <w:spacing w:line="360" w:lineRule="auto"/>
        <w:ind w:left="3539" w:firstLine="709"/>
        <w:jc w:val="both"/>
        <w:rPr>
          <w:rFonts w:ascii="Times New Roman" w:eastAsia="Times New Roman" w:hAnsi="Times New Roman" w:cs="Times New Roman"/>
          <w:b/>
          <w:sz w:val="24"/>
          <w:szCs w:val="24"/>
        </w:rPr>
      </w:pPr>
      <w:r w:rsidRPr="00D759A3">
        <w:rPr>
          <w:rFonts w:ascii="Times New Roman" w:eastAsia="Times New Roman" w:hAnsi="Times New Roman" w:cs="Times New Roman"/>
          <w:b/>
          <w:sz w:val="24"/>
          <w:szCs w:val="24"/>
        </w:rPr>
        <w:t>TÍTULO II</w:t>
      </w:r>
    </w:p>
    <w:p w:rsidR="00D759A3" w:rsidRPr="00D759A3" w:rsidRDefault="00D759A3" w:rsidP="00D759A3">
      <w:pPr>
        <w:pStyle w:val="Ttulo"/>
        <w:spacing w:line="360" w:lineRule="auto"/>
        <w:ind w:left="1415" w:firstLine="709"/>
        <w:jc w:val="both"/>
        <w:rPr>
          <w:rFonts w:ascii="Times New Roman" w:eastAsia="Times New Roman" w:hAnsi="Times New Roman" w:cs="Times New Roman"/>
          <w:b/>
          <w:sz w:val="24"/>
          <w:szCs w:val="24"/>
        </w:rPr>
      </w:pPr>
      <w:bookmarkStart w:id="12" w:name="_9hi2jncsl4i2" w:colFirst="0" w:colLast="0"/>
      <w:bookmarkEnd w:id="12"/>
      <w:r w:rsidRPr="00D759A3">
        <w:rPr>
          <w:rFonts w:ascii="Times New Roman" w:eastAsia="Times New Roman" w:hAnsi="Times New Roman" w:cs="Times New Roman"/>
          <w:b/>
          <w:sz w:val="24"/>
          <w:szCs w:val="24"/>
        </w:rPr>
        <w:t>Del relevamiento de vendedores del Espacio Público</w:t>
      </w:r>
    </w:p>
    <w:p w:rsidR="00D759A3" w:rsidRPr="00D759A3" w:rsidRDefault="00D759A3" w:rsidP="00D759A3">
      <w:pPr>
        <w:pStyle w:val="normal0"/>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8°.</w:t>
      </w:r>
      <w:r w:rsidRPr="00D759A3">
        <w:rPr>
          <w:rFonts w:ascii="Times New Roman" w:eastAsia="Times New Roman" w:hAnsi="Times New Roman" w:cs="Times New Roman"/>
          <w:sz w:val="24"/>
          <w:szCs w:val="24"/>
        </w:rPr>
        <w:t xml:space="preserve">- </w:t>
      </w:r>
      <w:r w:rsidRPr="00D759A3">
        <w:rPr>
          <w:rFonts w:ascii="Times New Roman" w:eastAsia="Times New Roman" w:hAnsi="Times New Roman" w:cs="Times New Roman"/>
          <w:b/>
          <w:sz w:val="24"/>
          <w:szCs w:val="24"/>
        </w:rPr>
        <w:t>Relevamiento</w:t>
      </w:r>
      <w:r w:rsidRPr="00D759A3">
        <w:rPr>
          <w:rFonts w:ascii="Times New Roman" w:eastAsia="Times New Roman" w:hAnsi="Times New Roman" w:cs="Times New Roman"/>
          <w:sz w:val="24"/>
          <w:szCs w:val="24"/>
        </w:rPr>
        <w:t>. Créase  en la órbita de la Autoridad de Aplicación el Relevamiento de Vendedores del Espacio Público (en adelante el REVEP), cuyo principal objetivo es brindar información que facilite la planificación de las acciones que contempla la presente norma y de otras políticas públicas, destinadas a beneficiar a las/os trabajadores del espacio público. En ningún caso el registro en el REVEP podrá dar lugar a multas o sanciones.</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 Luego de sesenta (60) días de aprobada la presente norma, la Autoridad de Aplicación deberá disponer los medios necesarios para realizar el REVEP.</w:t>
      </w:r>
    </w:p>
    <w:p w:rsidR="00D759A3" w:rsidRPr="00D759A3" w:rsidRDefault="00D759A3" w:rsidP="00D759A3">
      <w:pPr>
        <w:pStyle w:val="normal0"/>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p>
    <w:p w:rsidR="00D759A3" w:rsidRPr="00D759A3" w:rsidRDefault="00D759A3" w:rsidP="00D759A3">
      <w:pPr>
        <w:pStyle w:val="normal0"/>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9°.</w:t>
      </w:r>
      <w:r w:rsidRPr="00D759A3">
        <w:rPr>
          <w:rFonts w:ascii="Times New Roman" w:eastAsia="Times New Roman" w:hAnsi="Times New Roman" w:cs="Times New Roman"/>
          <w:sz w:val="24"/>
          <w:szCs w:val="24"/>
        </w:rPr>
        <w:t xml:space="preserve">- </w:t>
      </w:r>
      <w:r w:rsidRPr="00D759A3">
        <w:rPr>
          <w:rFonts w:ascii="Times New Roman" w:eastAsia="Times New Roman" w:hAnsi="Times New Roman" w:cs="Times New Roman"/>
          <w:b/>
          <w:sz w:val="24"/>
          <w:szCs w:val="24"/>
        </w:rPr>
        <w:t>Ejecución del relevamiento</w:t>
      </w:r>
      <w:r w:rsidRPr="00D759A3">
        <w:rPr>
          <w:rFonts w:ascii="Times New Roman" w:eastAsia="Times New Roman" w:hAnsi="Times New Roman" w:cs="Times New Roman"/>
          <w:sz w:val="24"/>
          <w:szCs w:val="24"/>
        </w:rPr>
        <w:t>. El REVEP será de carácter voluntario y  se realizará durante noventa (90) días en modalidad presencial. La Autoridad de Aplicación deberá disponer los medios necesarios para implementar el relevamiento en una única sede para toda la Ciudad, hasta la cual deberán concurrir las personas interesadas en registrar su actividad de venta en el espacio público.</w:t>
      </w:r>
    </w:p>
    <w:p w:rsidR="00D759A3" w:rsidRPr="00D759A3" w:rsidRDefault="00D759A3" w:rsidP="00D759A3">
      <w:pPr>
        <w:pStyle w:val="normal0"/>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El procedimiento del REVEP deberá ser concertado en la Comisión de seguimiento, asimismo deberá ser ampliamente difundido con recorridas territoriales de la Autoridad de Aplicación en toda la ciudad y publicitado a través de los medios masivos de comunicación y las redes sociales.</w:t>
      </w:r>
    </w:p>
    <w:p w:rsidR="00D759A3" w:rsidRPr="00D759A3" w:rsidRDefault="00D759A3" w:rsidP="00D759A3">
      <w:pPr>
        <w:pStyle w:val="normal0"/>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10°.</w:t>
      </w:r>
      <w:r w:rsidRPr="00D759A3">
        <w:rPr>
          <w:rFonts w:ascii="Times New Roman" w:eastAsia="Times New Roman" w:hAnsi="Times New Roman" w:cs="Times New Roman"/>
          <w:sz w:val="24"/>
          <w:szCs w:val="24"/>
        </w:rPr>
        <w:t xml:space="preserve">- </w:t>
      </w:r>
      <w:r w:rsidRPr="00D759A3">
        <w:rPr>
          <w:rFonts w:ascii="Times New Roman" w:eastAsia="Times New Roman" w:hAnsi="Times New Roman" w:cs="Times New Roman"/>
          <w:b/>
          <w:sz w:val="24"/>
          <w:szCs w:val="24"/>
        </w:rPr>
        <w:t>Informe</w:t>
      </w:r>
      <w:r w:rsidRPr="00D759A3">
        <w:rPr>
          <w:rFonts w:ascii="Times New Roman" w:eastAsia="Times New Roman" w:hAnsi="Times New Roman" w:cs="Times New Roman"/>
          <w:sz w:val="24"/>
          <w:szCs w:val="24"/>
        </w:rPr>
        <w:t>. Con la información recabada en el REVEP, la Autoridad de Aplicación deberá efectuar un informe que será presentado a la Comisión de seguimiento, a los seis (6) meses de aprobada esta norma. El informe debe contener, como mínimo, el número de vendedoras/es y puestos de trabajo relevados, el mobiliario declarado por las/os vendedoras/os, los principales rubros identificados, la distribución por comuna, las condiciones laborales de las/os trabajadoras/es y las necesidades identificadas para la regularización y el buen desarrollo de la actividad.</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11°.</w:t>
      </w:r>
      <w:r w:rsidRPr="00D759A3">
        <w:rPr>
          <w:rFonts w:ascii="Times New Roman" w:eastAsia="Times New Roman" w:hAnsi="Times New Roman" w:cs="Times New Roman"/>
          <w:sz w:val="24"/>
          <w:szCs w:val="24"/>
        </w:rPr>
        <w:t xml:space="preserve">- </w:t>
      </w:r>
      <w:r w:rsidRPr="00D759A3">
        <w:rPr>
          <w:rFonts w:ascii="Times New Roman" w:eastAsia="Times New Roman" w:hAnsi="Times New Roman" w:cs="Times New Roman"/>
          <w:b/>
          <w:sz w:val="24"/>
          <w:szCs w:val="24"/>
        </w:rPr>
        <w:t>Actualización de la información.</w:t>
      </w:r>
      <w:r w:rsidRPr="00D759A3">
        <w:rPr>
          <w:rFonts w:ascii="Times New Roman" w:eastAsia="Times New Roman" w:hAnsi="Times New Roman" w:cs="Times New Roman"/>
          <w:sz w:val="24"/>
          <w:szCs w:val="24"/>
        </w:rPr>
        <w:t xml:space="preserve"> La Autoridad de Aplicación deberá realizar actualizaciones anuales de la información consignada en el relevamiento inicial, teniendo en cuenta los permisos asignados a lo largo del periodo, las solicitudes pendientes de resolución, los puestos permanentes y desmontables construidos y adjudicados, así como cualquier otra información útil para el desarrollo de la actividad. El informe será remitido, anualmente, a la Comisión de seguimiento.</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p>
    <w:p w:rsidR="00D759A3" w:rsidRPr="00D759A3" w:rsidRDefault="00D759A3" w:rsidP="00D759A3">
      <w:pPr>
        <w:pStyle w:val="Ttulo"/>
        <w:spacing w:line="360" w:lineRule="auto"/>
        <w:ind w:left="3540"/>
        <w:jc w:val="both"/>
        <w:rPr>
          <w:rFonts w:ascii="Times New Roman" w:eastAsia="Times New Roman" w:hAnsi="Times New Roman" w:cs="Times New Roman"/>
          <w:b/>
          <w:sz w:val="24"/>
          <w:szCs w:val="24"/>
        </w:rPr>
      </w:pPr>
      <w:bookmarkStart w:id="13" w:name="_hfxpv64o87xl" w:colFirst="0" w:colLast="0"/>
      <w:bookmarkEnd w:id="13"/>
      <w:r w:rsidRPr="00D759A3">
        <w:rPr>
          <w:rFonts w:ascii="Times New Roman" w:eastAsia="Times New Roman" w:hAnsi="Times New Roman" w:cs="Times New Roman"/>
          <w:b/>
          <w:sz w:val="24"/>
          <w:szCs w:val="24"/>
        </w:rPr>
        <w:t>TÍTULO III</w:t>
      </w:r>
    </w:p>
    <w:p w:rsidR="00D759A3" w:rsidRPr="00D759A3" w:rsidRDefault="00D759A3" w:rsidP="00D759A3">
      <w:pPr>
        <w:pStyle w:val="Ttulo"/>
        <w:spacing w:line="360" w:lineRule="auto"/>
        <w:ind w:left="707" w:firstLine="709"/>
        <w:jc w:val="both"/>
        <w:rPr>
          <w:rFonts w:ascii="Times New Roman" w:eastAsia="Times New Roman" w:hAnsi="Times New Roman" w:cs="Times New Roman"/>
          <w:b/>
          <w:sz w:val="24"/>
          <w:szCs w:val="24"/>
        </w:rPr>
      </w:pPr>
      <w:bookmarkStart w:id="14" w:name="_i2hxurpw1f36" w:colFirst="0" w:colLast="0"/>
      <w:bookmarkEnd w:id="14"/>
      <w:r w:rsidRPr="00D759A3">
        <w:rPr>
          <w:rFonts w:ascii="Times New Roman" w:eastAsia="Times New Roman" w:hAnsi="Times New Roman" w:cs="Times New Roman"/>
          <w:b/>
          <w:sz w:val="24"/>
          <w:szCs w:val="24"/>
        </w:rPr>
        <w:t>Del Registro de los espacios públicos destinados a la venta</w:t>
      </w:r>
    </w:p>
    <w:p w:rsidR="00D759A3" w:rsidRPr="00D759A3" w:rsidRDefault="00D759A3" w:rsidP="00D759A3">
      <w:pPr>
        <w:pStyle w:val="normal0"/>
        <w:spacing w:line="360" w:lineRule="auto"/>
        <w:ind w:firstLine="709"/>
        <w:jc w:val="both"/>
        <w:rPr>
          <w:rFonts w:ascii="Times New Roman" w:eastAsia="Times New Roman" w:hAnsi="Times New Roman" w:cs="Times New Roman"/>
          <w:b/>
          <w:sz w:val="24"/>
          <w:szCs w:val="24"/>
        </w:rPr>
      </w:pPr>
      <w:bookmarkStart w:id="15" w:name="_rk0nnynwud4" w:colFirst="0" w:colLast="0"/>
      <w:bookmarkEnd w:id="15"/>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bookmarkStart w:id="16" w:name="_bbwrc1fcnr0d" w:colFirst="0" w:colLast="0"/>
      <w:bookmarkEnd w:id="16"/>
      <w:r w:rsidRPr="00D759A3">
        <w:rPr>
          <w:rFonts w:ascii="Times New Roman" w:eastAsia="Times New Roman" w:hAnsi="Times New Roman" w:cs="Times New Roman"/>
          <w:b/>
          <w:sz w:val="24"/>
          <w:szCs w:val="24"/>
        </w:rPr>
        <w:t>Artículo 12°.- Del registro de los espacios</w:t>
      </w:r>
      <w:r w:rsidRPr="00D759A3">
        <w:rPr>
          <w:rFonts w:ascii="Times New Roman" w:eastAsia="Times New Roman" w:hAnsi="Times New Roman" w:cs="Times New Roman"/>
          <w:sz w:val="24"/>
          <w:szCs w:val="24"/>
        </w:rPr>
        <w:t>. Créase en la órbita de la Autoridad de Aplicación el Registro de los Espacios Habilitados para la Venta en el Espacio Público (en adelante el REHAVEP), cuya finalidad será identificar y establecer los espacios destinados a la instalación de los puestos de venta en todas las comunas de la ciudad, diferenciando aquellos de carácter fijo permanente y los de carácter fijo desmontable.</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bookmarkStart w:id="17" w:name="_c3dylebk35c2" w:colFirst="0" w:colLast="0"/>
      <w:bookmarkEnd w:id="17"/>
      <w:r w:rsidRPr="00D759A3">
        <w:rPr>
          <w:rFonts w:ascii="Times New Roman" w:eastAsia="Times New Roman" w:hAnsi="Times New Roman" w:cs="Times New Roman"/>
          <w:sz w:val="24"/>
          <w:szCs w:val="24"/>
        </w:rPr>
        <w:t xml:space="preserve">Luego de sesenta (60) días de aprobada la presente norma, la Autoridad de Aplicación deberá disponer los medios necesarios para realizar el REHAVEP en todas las Comunas de la ciudad.  </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bookmarkStart w:id="18" w:name="_j362q5209rx0" w:colFirst="0" w:colLast="0"/>
      <w:bookmarkEnd w:id="18"/>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w:t>
      </w:r>
      <w:r w:rsidRPr="00D759A3">
        <w:rPr>
          <w:rFonts w:ascii="Times New Roman" w:eastAsia="Times New Roman" w:hAnsi="Times New Roman" w:cs="Times New Roman"/>
          <w:b/>
          <w:sz w:val="24"/>
          <w:szCs w:val="24"/>
        </w:rPr>
        <w:t xml:space="preserve"> 13°.</w:t>
      </w:r>
      <w:r w:rsidRPr="00D759A3">
        <w:rPr>
          <w:rFonts w:ascii="Times New Roman" w:eastAsia="Times New Roman" w:hAnsi="Times New Roman" w:cs="Times New Roman"/>
          <w:sz w:val="24"/>
          <w:szCs w:val="24"/>
        </w:rPr>
        <w:t xml:space="preserve">- </w:t>
      </w:r>
      <w:r w:rsidRPr="00D759A3">
        <w:rPr>
          <w:rFonts w:ascii="Times New Roman" w:eastAsia="Times New Roman" w:hAnsi="Times New Roman" w:cs="Times New Roman"/>
          <w:b/>
          <w:sz w:val="24"/>
          <w:szCs w:val="24"/>
        </w:rPr>
        <w:t>Informe cartográfico</w:t>
      </w:r>
      <w:r w:rsidRPr="00D759A3">
        <w:rPr>
          <w:rFonts w:ascii="Times New Roman" w:eastAsia="Times New Roman" w:hAnsi="Times New Roman" w:cs="Times New Roman"/>
          <w:sz w:val="24"/>
          <w:szCs w:val="24"/>
        </w:rPr>
        <w:t>. Con la información recabada en el REHAVEP, la Autoridad de Aplicación deberá efectuar un informe cartográfico que será presentado a la Comisión de seguimiento, a los seis (6) meses de aprobada esta norma. El informe debe contener el número de puestos fijos permanentes y desmontables que se propone instalar en cada comuna de la ciudad y la ubicación y zonificación de cada puesto.</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 La identificación y disposición de los espacios tendrá en cuenta las actuales zonas de comercialización de productos en el espacio público e incluirá además, aquellas que por </w:t>
      </w:r>
      <w:r w:rsidRPr="00D759A3">
        <w:rPr>
          <w:rFonts w:ascii="Times New Roman" w:eastAsia="Times New Roman" w:hAnsi="Times New Roman" w:cs="Times New Roman"/>
          <w:sz w:val="24"/>
          <w:szCs w:val="24"/>
        </w:rPr>
        <w:lastRenderedPageBreak/>
        <w:t>sus características espaciales, comerciales y de circulación de personas puedan ser usadas para tal actividad.</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14°.</w:t>
      </w:r>
      <w:r w:rsidRPr="00D759A3">
        <w:rPr>
          <w:rFonts w:ascii="Times New Roman" w:eastAsia="Times New Roman" w:hAnsi="Times New Roman" w:cs="Times New Roman"/>
          <w:b/>
          <w:sz w:val="24"/>
          <w:szCs w:val="24"/>
        </w:rPr>
        <w:t xml:space="preserve">- Zonificación. </w:t>
      </w:r>
      <w:r w:rsidRPr="00D759A3">
        <w:rPr>
          <w:rFonts w:ascii="Times New Roman" w:eastAsia="Times New Roman" w:hAnsi="Times New Roman" w:cs="Times New Roman"/>
          <w:sz w:val="24"/>
          <w:szCs w:val="24"/>
        </w:rPr>
        <w:t>Dispóngase la siguiente zonificación para los Espacios Habilitados para la Venta en el Espacio Público</w:t>
      </w:r>
    </w:p>
    <w:p w:rsidR="00D759A3" w:rsidRPr="00D759A3" w:rsidRDefault="00D759A3" w:rsidP="00D759A3">
      <w:pPr>
        <w:pStyle w:val="normal0"/>
        <w:spacing w:before="200" w:after="200" w:line="360" w:lineRule="auto"/>
        <w:ind w:right="600"/>
        <w:jc w:val="both"/>
        <w:rPr>
          <w:rFonts w:ascii="Times New Roman" w:eastAsia="Times New Roman" w:hAnsi="Times New Roman" w:cs="Times New Roman"/>
          <w:sz w:val="24"/>
          <w:szCs w:val="24"/>
          <w:highlight w:val="white"/>
        </w:rPr>
      </w:pPr>
      <w:r w:rsidRPr="00D759A3">
        <w:rPr>
          <w:rFonts w:ascii="Times New Roman" w:eastAsia="Times New Roman" w:hAnsi="Times New Roman" w:cs="Times New Roman"/>
          <w:b/>
          <w:sz w:val="24"/>
          <w:szCs w:val="24"/>
          <w:highlight w:val="white"/>
        </w:rPr>
        <w:t>Zona 1</w:t>
      </w:r>
      <w:r w:rsidRPr="00D759A3">
        <w:rPr>
          <w:rFonts w:ascii="Times New Roman" w:eastAsia="Times New Roman" w:hAnsi="Times New Roman" w:cs="Times New Roman"/>
          <w:sz w:val="24"/>
          <w:szCs w:val="24"/>
          <w:highlight w:val="white"/>
        </w:rPr>
        <w:t>:</w:t>
      </w:r>
    </w:p>
    <w:p w:rsidR="00D759A3" w:rsidRPr="00D759A3" w:rsidRDefault="00D759A3" w:rsidP="00D759A3">
      <w:pPr>
        <w:pStyle w:val="normal0"/>
        <w:numPr>
          <w:ilvl w:val="0"/>
          <w:numId w:val="1"/>
        </w:numPr>
        <w:spacing w:before="200" w:line="360" w:lineRule="auto"/>
        <w:ind w:right="600"/>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Plaza Constitución: Eje comprendido entre </w:t>
      </w:r>
      <w:proofErr w:type="spellStart"/>
      <w:r w:rsidRPr="00D759A3">
        <w:rPr>
          <w:rFonts w:ascii="Times New Roman" w:eastAsia="Times New Roman" w:hAnsi="Times New Roman" w:cs="Times New Roman"/>
          <w:sz w:val="24"/>
          <w:szCs w:val="24"/>
        </w:rPr>
        <w:t>Av</w:t>
      </w:r>
      <w:proofErr w:type="spellEnd"/>
      <w:r w:rsidRPr="00D759A3">
        <w:rPr>
          <w:rFonts w:ascii="Times New Roman" w:eastAsia="Times New Roman" w:hAnsi="Times New Roman" w:cs="Times New Roman"/>
          <w:sz w:val="24"/>
          <w:szCs w:val="24"/>
        </w:rPr>
        <w:t xml:space="preserve"> Brasil y Constitución, y entre las calles Lima- y Lima Oeste</w:t>
      </w:r>
    </w:p>
    <w:p w:rsidR="00D759A3" w:rsidRPr="00D759A3" w:rsidRDefault="00D759A3" w:rsidP="00D759A3">
      <w:pPr>
        <w:pStyle w:val="normal0"/>
        <w:numPr>
          <w:ilvl w:val="0"/>
          <w:numId w:val="1"/>
        </w:numPr>
        <w:spacing w:line="360" w:lineRule="auto"/>
        <w:ind w:right="600"/>
        <w:jc w:val="both"/>
        <w:rPr>
          <w:rFonts w:ascii="Times New Roman" w:eastAsia="Times New Roman" w:hAnsi="Times New Roman" w:cs="Times New Roman"/>
          <w:sz w:val="24"/>
          <w:szCs w:val="24"/>
          <w:highlight w:val="white"/>
        </w:rPr>
      </w:pPr>
      <w:proofErr w:type="spellStart"/>
      <w:r w:rsidRPr="00D759A3">
        <w:rPr>
          <w:rFonts w:ascii="Times New Roman" w:eastAsia="Times New Roman" w:hAnsi="Times New Roman" w:cs="Times New Roman"/>
          <w:sz w:val="24"/>
          <w:szCs w:val="24"/>
          <w:highlight w:val="white"/>
        </w:rPr>
        <w:t>Microcentro</w:t>
      </w:r>
      <w:proofErr w:type="spellEnd"/>
      <w:r w:rsidRPr="00D759A3">
        <w:rPr>
          <w:rFonts w:ascii="Times New Roman" w:eastAsia="Times New Roman" w:hAnsi="Times New Roman" w:cs="Times New Roman"/>
          <w:sz w:val="24"/>
          <w:szCs w:val="24"/>
          <w:highlight w:val="white"/>
        </w:rPr>
        <w:t xml:space="preserve">: Eje de la calle Florida entre Moreno y </w:t>
      </w:r>
      <w:proofErr w:type="spellStart"/>
      <w:r w:rsidRPr="00D759A3">
        <w:rPr>
          <w:rFonts w:ascii="Times New Roman" w:eastAsia="Times New Roman" w:hAnsi="Times New Roman" w:cs="Times New Roman"/>
          <w:sz w:val="24"/>
          <w:szCs w:val="24"/>
          <w:highlight w:val="white"/>
        </w:rPr>
        <w:t>Av</w:t>
      </w:r>
      <w:proofErr w:type="spellEnd"/>
      <w:r w:rsidRPr="00D759A3">
        <w:rPr>
          <w:rFonts w:ascii="Times New Roman" w:eastAsia="Times New Roman" w:hAnsi="Times New Roman" w:cs="Times New Roman"/>
          <w:sz w:val="24"/>
          <w:szCs w:val="24"/>
          <w:highlight w:val="white"/>
        </w:rPr>
        <w:t xml:space="preserve"> Córdoba</w:t>
      </w:r>
    </w:p>
    <w:p w:rsidR="00D759A3" w:rsidRPr="00D759A3" w:rsidRDefault="00D759A3" w:rsidP="00D759A3">
      <w:pPr>
        <w:pStyle w:val="normal0"/>
        <w:numPr>
          <w:ilvl w:val="0"/>
          <w:numId w:val="1"/>
        </w:numPr>
        <w:spacing w:line="360" w:lineRule="auto"/>
        <w:ind w:right="600"/>
        <w:jc w:val="both"/>
        <w:rPr>
          <w:rFonts w:ascii="Times New Roman" w:eastAsia="Times New Roman" w:hAnsi="Times New Roman" w:cs="Times New Roman"/>
          <w:sz w:val="24"/>
          <w:szCs w:val="24"/>
          <w:highlight w:val="white"/>
        </w:rPr>
      </w:pPr>
      <w:r w:rsidRPr="00D759A3">
        <w:rPr>
          <w:rFonts w:ascii="Times New Roman" w:eastAsia="Times New Roman" w:hAnsi="Times New Roman" w:cs="Times New Roman"/>
          <w:sz w:val="24"/>
          <w:szCs w:val="24"/>
          <w:highlight w:val="white"/>
        </w:rPr>
        <w:t xml:space="preserve">Estación Retiro: Eje de la calle </w:t>
      </w:r>
      <w:proofErr w:type="spellStart"/>
      <w:r w:rsidRPr="00D759A3">
        <w:rPr>
          <w:rFonts w:ascii="Times New Roman" w:eastAsia="Times New Roman" w:hAnsi="Times New Roman" w:cs="Times New Roman"/>
          <w:sz w:val="24"/>
          <w:szCs w:val="24"/>
          <w:highlight w:val="white"/>
        </w:rPr>
        <w:t>Av</w:t>
      </w:r>
      <w:proofErr w:type="spellEnd"/>
      <w:r w:rsidRPr="00D759A3">
        <w:rPr>
          <w:rFonts w:ascii="Times New Roman" w:eastAsia="Times New Roman" w:hAnsi="Times New Roman" w:cs="Times New Roman"/>
          <w:sz w:val="24"/>
          <w:szCs w:val="24"/>
          <w:highlight w:val="white"/>
        </w:rPr>
        <w:t xml:space="preserve"> José María Ramos Mejía entre </w:t>
      </w:r>
      <w:proofErr w:type="spellStart"/>
      <w:r w:rsidRPr="00D759A3">
        <w:rPr>
          <w:rFonts w:ascii="Times New Roman" w:eastAsia="Times New Roman" w:hAnsi="Times New Roman" w:cs="Times New Roman"/>
          <w:sz w:val="24"/>
          <w:szCs w:val="24"/>
          <w:highlight w:val="white"/>
        </w:rPr>
        <w:t>Av</w:t>
      </w:r>
      <w:proofErr w:type="spellEnd"/>
      <w:r w:rsidRPr="00D759A3">
        <w:rPr>
          <w:rFonts w:ascii="Times New Roman" w:eastAsia="Times New Roman" w:hAnsi="Times New Roman" w:cs="Times New Roman"/>
          <w:sz w:val="24"/>
          <w:szCs w:val="24"/>
          <w:highlight w:val="white"/>
        </w:rPr>
        <w:t xml:space="preserve"> Libertador y </w:t>
      </w:r>
      <w:proofErr w:type="spellStart"/>
      <w:r w:rsidRPr="00D759A3">
        <w:rPr>
          <w:rFonts w:ascii="Times New Roman" w:eastAsia="Times New Roman" w:hAnsi="Times New Roman" w:cs="Times New Roman"/>
          <w:sz w:val="24"/>
          <w:szCs w:val="24"/>
          <w:highlight w:val="white"/>
        </w:rPr>
        <w:t>Av</w:t>
      </w:r>
      <w:proofErr w:type="spellEnd"/>
      <w:r w:rsidRPr="00D759A3">
        <w:rPr>
          <w:rFonts w:ascii="Times New Roman" w:eastAsia="Times New Roman" w:hAnsi="Times New Roman" w:cs="Times New Roman"/>
          <w:sz w:val="24"/>
          <w:szCs w:val="24"/>
          <w:highlight w:val="white"/>
        </w:rPr>
        <w:t xml:space="preserve"> Antártida Argentina</w:t>
      </w:r>
    </w:p>
    <w:p w:rsidR="00D759A3" w:rsidRPr="00D759A3" w:rsidRDefault="00D759A3" w:rsidP="00D759A3">
      <w:pPr>
        <w:pStyle w:val="normal0"/>
        <w:numPr>
          <w:ilvl w:val="0"/>
          <w:numId w:val="1"/>
        </w:numPr>
        <w:spacing w:line="360" w:lineRule="auto"/>
        <w:ind w:right="600"/>
        <w:jc w:val="both"/>
        <w:rPr>
          <w:rFonts w:ascii="Times New Roman" w:eastAsia="Times New Roman" w:hAnsi="Times New Roman" w:cs="Times New Roman"/>
          <w:sz w:val="24"/>
          <w:szCs w:val="24"/>
          <w:highlight w:val="white"/>
        </w:rPr>
      </w:pPr>
      <w:r w:rsidRPr="00D759A3">
        <w:rPr>
          <w:rFonts w:ascii="Times New Roman" w:eastAsia="Times New Roman" w:hAnsi="Times New Roman" w:cs="Times New Roman"/>
          <w:sz w:val="24"/>
          <w:szCs w:val="24"/>
          <w:highlight w:val="white"/>
        </w:rPr>
        <w:t xml:space="preserve">Once: Eje entre Moreno y </w:t>
      </w:r>
      <w:proofErr w:type="spellStart"/>
      <w:r w:rsidRPr="00D759A3">
        <w:rPr>
          <w:rFonts w:ascii="Times New Roman" w:eastAsia="Times New Roman" w:hAnsi="Times New Roman" w:cs="Times New Roman"/>
          <w:sz w:val="24"/>
          <w:szCs w:val="24"/>
          <w:highlight w:val="white"/>
        </w:rPr>
        <w:t>Av</w:t>
      </w:r>
      <w:proofErr w:type="spellEnd"/>
      <w:r w:rsidRPr="00D759A3">
        <w:rPr>
          <w:rFonts w:ascii="Times New Roman" w:eastAsia="Times New Roman" w:hAnsi="Times New Roman" w:cs="Times New Roman"/>
          <w:sz w:val="24"/>
          <w:szCs w:val="24"/>
          <w:highlight w:val="white"/>
        </w:rPr>
        <w:t xml:space="preserve"> Córdoba y entre </w:t>
      </w:r>
      <w:proofErr w:type="spellStart"/>
      <w:r w:rsidRPr="00D759A3">
        <w:rPr>
          <w:rFonts w:ascii="Times New Roman" w:eastAsia="Times New Roman" w:hAnsi="Times New Roman" w:cs="Times New Roman"/>
          <w:sz w:val="24"/>
          <w:szCs w:val="24"/>
          <w:highlight w:val="white"/>
        </w:rPr>
        <w:t>Av</w:t>
      </w:r>
      <w:proofErr w:type="spellEnd"/>
      <w:r w:rsidRPr="00D759A3">
        <w:rPr>
          <w:rFonts w:ascii="Times New Roman" w:eastAsia="Times New Roman" w:hAnsi="Times New Roman" w:cs="Times New Roman"/>
          <w:sz w:val="24"/>
          <w:szCs w:val="24"/>
          <w:highlight w:val="white"/>
        </w:rPr>
        <w:t xml:space="preserve"> </w:t>
      </w:r>
      <w:proofErr w:type="spellStart"/>
      <w:r w:rsidRPr="00D759A3">
        <w:rPr>
          <w:rFonts w:ascii="Times New Roman" w:eastAsia="Times New Roman" w:hAnsi="Times New Roman" w:cs="Times New Roman"/>
          <w:sz w:val="24"/>
          <w:szCs w:val="24"/>
          <w:highlight w:val="white"/>
        </w:rPr>
        <w:t>Pueyrredón</w:t>
      </w:r>
      <w:proofErr w:type="spellEnd"/>
      <w:r w:rsidRPr="00D759A3">
        <w:rPr>
          <w:rFonts w:ascii="Times New Roman" w:eastAsia="Times New Roman" w:hAnsi="Times New Roman" w:cs="Times New Roman"/>
          <w:sz w:val="24"/>
          <w:szCs w:val="24"/>
          <w:highlight w:val="white"/>
        </w:rPr>
        <w:t xml:space="preserve"> y </w:t>
      </w:r>
      <w:proofErr w:type="spellStart"/>
      <w:r w:rsidRPr="00D759A3">
        <w:rPr>
          <w:rFonts w:ascii="Times New Roman" w:eastAsia="Times New Roman" w:hAnsi="Times New Roman" w:cs="Times New Roman"/>
          <w:sz w:val="24"/>
          <w:szCs w:val="24"/>
          <w:highlight w:val="white"/>
        </w:rPr>
        <w:t>Av</w:t>
      </w:r>
      <w:proofErr w:type="spellEnd"/>
      <w:r w:rsidRPr="00D759A3">
        <w:rPr>
          <w:rFonts w:ascii="Times New Roman" w:eastAsia="Times New Roman" w:hAnsi="Times New Roman" w:cs="Times New Roman"/>
          <w:sz w:val="24"/>
          <w:szCs w:val="24"/>
          <w:highlight w:val="white"/>
        </w:rPr>
        <w:t xml:space="preserve"> Callao</w:t>
      </w:r>
    </w:p>
    <w:p w:rsidR="00D759A3" w:rsidRPr="00D759A3" w:rsidRDefault="00D759A3" w:rsidP="00D759A3">
      <w:pPr>
        <w:pStyle w:val="normal0"/>
        <w:numPr>
          <w:ilvl w:val="0"/>
          <w:numId w:val="1"/>
        </w:numPr>
        <w:spacing w:line="360" w:lineRule="auto"/>
        <w:ind w:right="600"/>
        <w:jc w:val="both"/>
        <w:rPr>
          <w:rFonts w:ascii="Times New Roman" w:eastAsia="Times New Roman" w:hAnsi="Times New Roman" w:cs="Times New Roman"/>
          <w:sz w:val="24"/>
          <w:szCs w:val="24"/>
          <w:highlight w:val="white"/>
        </w:rPr>
      </w:pPr>
      <w:proofErr w:type="spellStart"/>
      <w:r w:rsidRPr="00D759A3">
        <w:rPr>
          <w:rFonts w:ascii="Times New Roman" w:eastAsia="Times New Roman" w:hAnsi="Times New Roman" w:cs="Times New Roman"/>
          <w:sz w:val="24"/>
          <w:szCs w:val="24"/>
          <w:highlight w:val="white"/>
        </w:rPr>
        <w:t>Liniers</w:t>
      </w:r>
      <w:proofErr w:type="spellEnd"/>
      <w:r w:rsidRPr="00D759A3">
        <w:rPr>
          <w:rFonts w:ascii="Times New Roman" w:eastAsia="Times New Roman" w:hAnsi="Times New Roman" w:cs="Times New Roman"/>
          <w:sz w:val="24"/>
          <w:szCs w:val="24"/>
          <w:highlight w:val="white"/>
        </w:rPr>
        <w:t xml:space="preserve">: Eje entre Av. Rivadavia y Ventura Bosch y entre </w:t>
      </w:r>
      <w:proofErr w:type="spellStart"/>
      <w:r w:rsidRPr="00D759A3">
        <w:rPr>
          <w:rFonts w:ascii="Times New Roman" w:eastAsia="Times New Roman" w:hAnsi="Times New Roman" w:cs="Times New Roman"/>
          <w:sz w:val="24"/>
          <w:szCs w:val="24"/>
          <w:highlight w:val="white"/>
        </w:rPr>
        <w:t>Av</w:t>
      </w:r>
      <w:proofErr w:type="spellEnd"/>
      <w:r w:rsidRPr="00D759A3">
        <w:rPr>
          <w:rFonts w:ascii="Times New Roman" w:eastAsia="Times New Roman" w:hAnsi="Times New Roman" w:cs="Times New Roman"/>
          <w:sz w:val="24"/>
          <w:szCs w:val="24"/>
          <w:highlight w:val="white"/>
        </w:rPr>
        <w:t xml:space="preserve"> General Paz y Timoteo Gordillo</w:t>
      </w:r>
    </w:p>
    <w:p w:rsidR="00D759A3" w:rsidRPr="00D759A3" w:rsidRDefault="00D759A3" w:rsidP="00D759A3">
      <w:pPr>
        <w:pStyle w:val="normal0"/>
        <w:numPr>
          <w:ilvl w:val="0"/>
          <w:numId w:val="1"/>
        </w:numPr>
        <w:spacing w:after="200" w:line="360" w:lineRule="auto"/>
        <w:ind w:right="600"/>
        <w:jc w:val="both"/>
        <w:rPr>
          <w:rFonts w:ascii="Times New Roman" w:eastAsia="Times New Roman" w:hAnsi="Times New Roman" w:cs="Times New Roman"/>
          <w:sz w:val="24"/>
          <w:szCs w:val="24"/>
          <w:highlight w:val="white"/>
        </w:rPr>
      </w:pPr>
      <w:r w:rsidRPr="00D759A3">
        <w:rPr>
          <w:rFonts w:ascii="Times New Roman" w:eastAsia="Times New Roman" w:hAnsi="Times New Roman" w:cs="Times New Roman"/>
          <w:sz w:val="24"/>
          <w:szCs w:val="24"/>
          <w:highlight w:val="white"/>
        </w:rPr>
        <w:t xml:space="preserve">Flores: Eje entre </w:t>
      </w:r>
      <w:proofErr w:type="spellStart"/>
      <w:r w:rsidRPr="00D759A3">
        <w:rPr>
          <w:rFonts w:ascii="Times New Roman" w:eastAsia="Times New Roman" w:hAnsi="Times New Roman" w:cs="Times New Roman"/>
          <w:sz w:val="24"/>
          <w:szCs w:val="24"/>
          <w:highlight w:val="white"/>
        </w:rPr>
        <w:t>Av</w:t>
      </w:r>
      <w:proofErr w:type="spellEnd"/>
      <w:r w:rsidRPr="00D759A3">
        <w:rPr>
          <w:rFonts w:ascii="Times New Roman" w:eastAsia="Times New Roman" w:hAnsi="Times New Roman" w:cs="Times New Roman"/>
          <w:sz w:val="24"/>
          <w:szCs w:val="24"/>
          <w:highlight w:val="white"/>
        </w:rPr>
        <w:t xml:space="preserve"> Avellaneda y Gaona y Joaquín González y </w:t>
      </w:r>
      <w:proofErr w:type="spellStart"/>
      <w:r w:rsidRPr="00D759A3">
        <w:rPr>
          <w:rFonts w:ascii="Times New Roman" w:eastAsia="Times New Roman" w:hAnsi="Times New Roman" w:cs="Times New Roman"/>
          <w:sz w:val="24"/>
          <w:szCs w:val="24"/>
          <w:highlight w:val="white"/>
        </w:rPr>
        <w:t>Av</w:t>
      </w:r>
      <w:proofErr w:type="spellEnd"/>
      <w:r w:rsidRPr="00D759A3">
        <w:rPr>
          <w:rFonts w:ascii="Times New Roman" w:eastAsia="Times New Roman" w:hAnsi="Times New Roman" w:cs="Times New Roman"/>
          <w:sz w:val="24"/>
          <w:szCs w:val="24"/>
          <w:highlight w:val="white"/>
        </w:rPr>
        <w:t xml:space="preserve"> Nazca</w:t>
      </w:r>
    </w:p>
    <w:p w:rsidR="00D759A3" w:rsidRPr="00D759A3" w:rsidRDefault="00D759A3" w:rsidP="00D759A3">
      <w:pPr>
        <w:pStyle w:val="normal0"/>
        <w:spacing w:before="200" w:after="200" w:line="360" w:lineRule="auto"/>
        <w:ind w:right="60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highlight w:val="white"/>
        </w:rPr>
        <w:t>Zona 2</w:t>
      </w:r>
      <w:r w:rsidRPr="00D759A3">
        <w:rPr>
          <w:rFonts w:ascii="Times New Roman" w:eastAsia="Times New Roman" w:hAnsi="Times New Roman" w:cs="Times New Roman"/>
          <w:sz w:val="24"/>
          <w:szCs w:val="24"/>
          <w:highlight w:val="white"/>
        </w:rPr>
        <w:t>: Todas las avenidas de la Ciudad, excepto las comprendidas en la Zona 1.</w:t>
      </w:r>
    </w:p>
    <w:p w:rsidR="00D759A3" w:rsidRPr="00D759A3" w:rsidRDefault="00D759A3" w:rsidP="00D759A3">
      <w:pPr>
        <w:pStyle w:val="normal0"/>
        <w:spacing w:before="200" w:after="200" w:line="360" w:lineRule="auto"/>
        <w:ind w:right="600"/>
        <w:jc w:val="both"/>
        <w:rPr>
          <w:rFonts w:ascii="Times New Roman" w:eastAsia="Times New Roman" w:hAnsi="Times New Roman" w:cs="Times New Roman"/>
          <w:sz w:val="24"/>
          <w:szCs w:val="24"/>
          <w:highlight w:val="white"/>
        </w:rPr>
      </w:pPr>
      <w:r w:rsidRPr="00D759A3">
        <w:rPr>
          <w:rFonts w:ascii="Times New Roman" w:eastAsia="Times New Roman" w:hAnsi="Times New Roman" w:cs="Times New Roman"/>
          <w:b/>
          <w:sz w:val="24"/>
          <w:szCs w:val="24"/>
          <w:highlight w:val="white"/>
        </w:rPr>
        <w:t>Zona 3</w:t>
      </w:r>
      <w:r w:rsidRPr="00D759A3">
        <w:rPr>
          <w:rFonts w:ascii="Times New Roman" w:eastAsia="Times New Roman" w:hAnsi="Times New Roman" w:cs="Times New Roman"/>
          <w:sz w:val="24"/>
          <w:szCs w:val="24"/>
          <w:highlight w:val="white"/>
        </w:rPr>
        <w:t>: El resto de la Ciudad cuya catalogación en el Código Urbanístico corresponda a Áreas de Mixturas de Usos 2, 3 o 4.</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highlight w:val="white"/>
        </w:rPr>
      </w:pPr>
      <w:r w:rsidRPr="00D759A3">
        <w:rPr>
          <w:rFonts w:ascii="Times New Roman" w:eastAsia="Times New Roman" w:hAnsi="Times New Roman" w:cs="Times New Roman"/>
          <w:b/>
          <w:sz w:val="24"/>
          <w:szCs w:val="24"/>
          <w:highlight w:val="white"/>
        </w:rPr>
        <w:t xml:space="preserve">Artículo 14°. </w:t>
      </w:r>
      <w:proofErr w:type="gramStart"/>
      <w:r w:rsidRPr="00D759A3">
        <w:rPr>
          <w:rFonts w:ascii="Times New Roman" w:eastAsia="Times New Roman" w:hAnsi="Times New Roman" w:cs="Times New Roman"/>
          <w:b/>
          <w:sz w:val="24"/>
          <w:szCs w:val="24"/>
          <w:highlight w:val="white"/>
        </w:rPr>
        <w:t>bis</w:t>
      </w:r>
      <w:proofErr w:type="gramEnd"/>
      <w:r w:rsidRPr="00D759A3">
        <w:rPr>
          <w:rFonts w:ascii="Times New Roman" w:eastAsia="Times New Roman" w:hAnsi="Times New Roman" w:cs="Times New Roman"/>
          <w:b/>
          <w:sz w:val="24"/>
          <w:szCs w:val="24"/>
          <w:highlight w:val="white"/>
        </w:rPr>
        <w:t xml:space="preserve"> -</w:t>
      </w:r>
      <w:r w:rsidRPr="00D759A3">
        <w:rPr>
          <w:rFonts w:ascii="Times New Roman" w:eastAsia="Times New Roman" w:hAnsi="Times New Roman" w:cs="Times New Roman"/>
          <w:sz w:val="24"/>
          <w:szCs w:val="24"/>
          <w:highlight w:val="white"/>
        </w:rPr>
        <w:t xml:space="preserve"> No podrán ser emplazados puestos fijos permanentes y/o desmontables en aquellas Área de mixtura de Usos 1  del Código Urbanístico a excepción de aquellos casos en que sea expresamente solicitado por un/a permisionario/a y la Comisión de Evaluación y Seguimiento evalúe la conveniencia. En ese caso se aplicará el </w:t>
      </w:r>
      <w:proofErr w:type="spellStart"/>
      <w:r w:rsidRPr="00D759A3">
        <w:rPr>
          <w:rFonts w:ascii="Times New Roman" w:eastAsia="Times New Roman" w:hAnsi="Times New Roman" w:cs="Times New Roman"/>
          <w:sz w:val="24"/>
          <w:szCs w:val="24"/>
          <w:highlight w:val="white"/>
        </w:rPr>
        <w:t>cánon</w:t>
      </w:r>
      <w:proofErr w:type="spellEnd"/>
      <w:r w:rsidRPr="00D759A3">
        <w:rPr>
          <w:rFonts w:ascii="Times New Roman" w:eastAsia="Times New Roman" w:hAnsi="Times New Roman" w:cs="Times New Roman"/>
          <w:sz w:val="24"/>
          <w:szCs w:val="24"/>
          <w:highlight w:val="white"/>
        </w:rPr>
        <w:t xml:space="preserve"> correspondiente a la Zona 3 del artículo 14° de la presente norma.</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bookmarkStart w:id="19" w:name="_x19zlprc4ovf" w:colFirst="0" w:colLast="0"/>
      <w:bookmarkEnd w:id="19"/>
    </w:p>
    <w:p w:rsidR="00D759A3" w:rsidRPr="00D759A3" w:rsidRDefault="00D759A3" w:rsidP="00D759A3">
      <w:pPr>
        <w:pStyle w:val="normal0"/>
        <w:spacing w:line="360" w:lineRule="auto"/>
        <w:ind w:firstLine="720"/>
        <w:jc w:val="both"/>
        <w:rPr>
          <w:rFonts w:ascii="Times New Roman" w:eastAsia="Times New Roman" w:hAnsi="Times New Roman" w:cs="Times New Roman"/>
          <w:b/>
          <w:sz w:val="24"/>
          <w:szCs w:val="24"/>
        </w:rPr>
      </w:pPr>
      <w:bookmarkStart w:id="20" w:name="_cqw0g4t43nud" w:colFirst="0" w:colLast="0"/>
      <w:bookmarkEnd w:id="20"/>
      <w:r w:rsidRPr="00D759A3">
        <w:rPr>
          <w:rFonts w:ascii="Times New Roman" w:eastAsia="Times New Roman" w:hAnsi="Times New Roman" w:cs="Times New Roman"/>
          <w:b/>
          <w:sz w:val="24"/>
          <w:szCs w:val="24"/>
        </w:rPr>
        <w:t>Artículo 15°. - De la cantidad de puestos de venta</w:t>
      </w:r>
      <w:r>
        <w:rPr>
          <w:rFonts w:ascii="Times New Roman" w:eastAsia="Times New Roman" w:hAnsi="Times New Roman" w:cs="Times New Roman"/>
          <w:b/>
          <w:sz w:val="24"/>
          <w:szCs w:val="24"/>
        </w:rPr>
        <w:t>.</w:t>
      </w:r>
      <w:r w:rsidRPr="00D759A3">
        <w:rPr>
          <w:rFonts w:ascii="Times New Roman" w:eastAsia="Times New Roman" w:hAnsi="Times New Roman" w:cs="Times New Roman"/>
          <w:b/>
          <w:sz w:val="24"/>
          <w:szCs w:val="24"/>
        </w:rPr>
        <w:t xml:space="preserve"> </w:t>
      </w:r>
      <w:r w:rsidRPr="00D759A3">
        <w:rPr>
          <w:rFonts w:ascii="Times New Roman" w:eastAsia="Times New Roman" w:hAnsi="Times New Roman" w:cs="Times New Roman"/>
          <w:sz w:val="24"/>
          <w:szCs w:val="24"/>
        </w:rPr>
        <w:t xml:space="preserve">En cada zona se dispondrá la cantidad de puestos acorde a las características urbanas y comerciales de la misma, y a la preexistencia de puestos de venta en el espacio público. En aquellas circunstancias en las que durante la realización del REVEP y el REHAVEP se compruebe la existencia previa de puestos de venta en el espacio público, los mismos deberán ser respetados en cuanto a la cantidad y la ubicación, en caso de que para dar cumplimiento a la presente norma, se hiciera necesaria la reubicación de los puestos previamente identificados, se deberá garantizar, a las/os vendedoras/es que los ocupan, una nueva ubicación en una zona igual o mejor a la existente. </w:t>
      </w:r>
      <w:r w:rsidRPr="00D759A3">
        <w:rPr>
          <w:rFonts w:ascii="Times New Roman" w:eastAsia="Times New Roman" w:hAnsi="Times New Roman" w:cs="Times New Roman"/>
          <w:b/>
          <w:sz w:val="24"/>
          <w:szCs w:val="24"/>
        </w:rPr>
        <w:t xml:space="preserve"> </w:t>
      </w:r>
    </w:p>
    <w:p w:rsidR="00D759A3" w:rsidRPr="00D759A3" w:rsidRDefault="00D759A3" w:rsidP="00D759A3">
      <w:pPr>
        <w:pStyle w:val="normal0"/>
        <w:spacing w:line="360" w:lineRule="auto"/>
        <w:ind w:firstLine="720"/>
        <w:jc w:val="both"/>
        <w:rPr>
          <w:rFonts w:ascii="Times New Roman" w:eastAsia="Times New Roman" w:hAnsi="Times New Roman" w:cs="Times New Roman"/>
          <w:b/>
          <w:sz w:val="24"/>
          <w:szCs w:val="24"/>
        </w:rPr>
      </w:pPr>
      <w:bookmarkStart w:id="21" w:name="_a7q3431t1fyj" w:colFirst="0" w:colLast="0"/>
      <w:bookmarkEnd w:id="21"/>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bookmarkStart w:id="22" w:name="_jdajzvey3g05" w:colFirst="0" w:colLast="0"/>
      <w:bookmarkEnd w:id="22"/>
      <w:r w:rsidRPr="00D759A3">
        <w:rPr>
          <w:rFonts w:ascii="Times New Roman" w:eastAsia="Times New Roman" w:hAnsi="Times New Roman" w:cs="Times New Roman"/>
          <w:b/>
          <w:sz w:val="24"/>
          <w:szCs w:val="24"/>
        </w:rPr>
        <w:lastRenderedPageBreak/>
        <w:t xml:space="preserve">Artículo 16°. - Espacios no habilitados para la venta. </w:t>
      </w:r>
      <w:r w:rsidRPr="00D759A3">
        <w:rPr>
          <w:rFonts w:ascii="Times New Roman" w:eastAsia="Times New Roman" w:hAnsi="Times New Roman" w:cs="Times New Roman"/>
          <w:sz w:val="24"/>
          <w:szCs w:val="24"/>
        </w:rPr>
        <w:t xml:space="preserve">No podrán concederse permisos para la venta en el espacio público en </w:t>
      </w:r>
      <w:proofErr w:type="gramStart"/>
      <w:r w:rsidRPr="00D759A3">
        <w:rPr>
          <w:rFonts w:ascii="Times New Roman" w:eastAsia="Times New Roman" w:hAnsi="Times New Roman" w:cs="Times New Roman"/>
          <w:sz w:val="24"/>
          <w:szCs w:val="24"/>
        </w:rPr>
        <w:t>las modalidad</w:t>
      </w:r>
      <w:proofErr w:type="gramEnd"/>
      <w:r w:rsidRPr="00D759A3">
        <w:rPr>
          <w:rFonts w:ascii="Times New Roman" w:eastAsia="Times New Roman" w:hAnsi="Times New Roman" w:cs="Times New Roman"/>
          <w:sz w:val="24"/>
          <w:szCs w:val="24"/>
        </w:rPr>
        <w:t xml:space="preserve"> dispuestas en el artículo 5° en los siguientes lugares:</w:t>
      </w:r>
    </w:p>
    <w:p w:rsidR="00D759A3" w:rsidRPr="00D759A3" w:rsidRDefault="00D759A3" w:rsidP="00D759A3">
      <w:pPr>
        <w:pStyle w:val="normal0"/>
        <w:numPr>
          <w:ilvl w:val="0"/>
          <w:numId w:val="7"/>
        </w:numPr>
        <w:spacing w:line="360" w:lineRule="auto"/>
        <w:jc w:val="both"/>
        <w:rPr>
          <w:rFonts w:ascii="Times New Roman" w:eastAsia="Times New Roman" w:hAnsi="Times New Roman" w:cs="Times New Roman"/>
          <w:sz w:val="24"/>
          <w:szCs w:val="24"/>
        </w:rPr>
      </w:pPr>
      <w:bookmarkStart w:id="23" w:name="_ou0925vt23ki" w:colFirst="0" w:colLast="0"/>
      <w:bookmarkEnd w:id="23"/>
      <w:r w:rsidRPr="00D759A3">
        <w:rPr>
          <w:rFonts w:ascii="Times New Roman" w:eastAsia="Times New Roman" w:hAnsi="Times New Roman" w:cs="Times New Roman"/>
          <w:sz w:val="24"/>
          <w:szCs w:val="24"/>
        </w:rPr>
        <w:t xml:space="preserve"> A menos de cinco (5) metros de paradas de transporte de pasajeros o taxímetros;</w:t>
      </w:r>
    </w:p>
    <w:p w:rsidR="00D759A3" w:rsidRPr="00D759A3" w:rsidRDefault="00D759A3" w:rsidP="00D759A3">
      <w:pPr>
        <w:pStyle w:val="normal0"/>
        <w:numPr>
          <w:ilvl w:val="0"/>
          <w:numId w:val="7"/>
        </w:numPr>
        <w:spacing w:line="360" w:lineRule="auto"/>
        <w:jc w:val="both"/>
        <w:rPr>
          <w:rFonts w:ascii="Times New Roman" w:eastAsia="Times New Roman" w:hAnsi="Times New Roman" w:cs="Times New Roman"/>
          <w:sz w:val="24"/>
          <w:szCs w:val="24"/>
        </w:rPr>
      </w:pPr>
      <w:bookmarkStart w:id="24" w:name="_cnr96abcufj5" w:colFirst="0" w:colLast="0"/>
      <w:bookmarkEnd w:id="24"/>
      <w:r w:rsidRPr="00D759A3">
        <w:rPr>
          <w:rFonts w:ascii="Times New Roman" w:eastAsia="Times New Roman" w:hAnsi="Times New Roman" w:cs="Times New Roman"/>
          <w:sz w:val="24"/>
          <w:szCs w:val="24"/>
        </w:rPr>
        <w:t xml:space="preserve"> A menos de dos (2) metros de sectores ocupados con sillas y mesas debidamente autorizados;</w:t>
      </w:r>
    </w:p>
    <w:p w:rsidR="00D759A3" w:rsidRPr="00D759A3" w:rsidRDefault="00D759A3" w:rsidP="00D759A3">
      <w:pPr>
        <w:pStyle w:val="normal0"/>
        <w:numPr>
          <w:ilvl w:val="0"/>
          <w:numId w:val="7"/>
        </w:numPr>
        <w:spacing w:line="360" w:lineRule="auto"/>
        <w:jc w:val="both"/>
        <w:rPr>
          <w:rFonts w:ascii="Times New Roman" w:eastAsia="Times New Roman" w:hAnsi="Times New Roman" w:cs="Times New Roman"/>
          <w:sz w:val="24"/>
          <w:szCs w:val="24"/>
        </w:rPr>
      </w:pPr>
      <w:bookmarkStart w:id="25" w:name="_k2mmpo6f0om2" w:colFirst="0" w:colLast="0"/>
      <w:bookmarkEnd w:id="25"/>
      <w:r w:rsidRPr="00D759A3">
        <w:rPr>
          <w:rFonts w:ascii="Times New Roman" w:eastAsia="Times New Roman" w:hAnsi="Times New Roman" w:cs="Times New Roman"/>
          <w:sz w:val="24"/>
          <w:szCs w:val="24"/>
        </w:rPr>
        <w:t>Donde impida la visión o mantenimiento de las señales de tránsito;</w:t>
      </w:r>
    </w:p>
    <w:p w:rsidR="00D759A3" w:rsidRPr="00D759A3" w:rsidRDefault="00D759A3" w:rsidP="00D759A3">
      <w:pPr>
        <w:pStyle w:val="normal0"/>
        <w:numPr>
          <w:ilvl w:val="0"/>
          <w:numId w:val="7"/>
        </w:numPr>
        <w:spacing w:line="360" w:lineRule="auto"/>
        <w:jc w:val="both"/>
        <w:rPr>
          <w:rFonts w:ascii="Times New Roman" w:eastAsia="Times New Roman" w:hAnsi="Times New Roman" w:cs="Times New Roman"/>
          <w:sz w:val="24"/>
          <w:szCs w:val="24"/>
        </w:rPr>
      </w:pPr>
      <w:bookmarkStart w:id="26" w:name="_wh28n041c6s" w:colFirst="0" w:colLast="0"/>
      <w:bookmarkEnd w:id="26"/>
      <w:r w:rsidRPr="00D759A3">
        <w:rPr>
          <w:rFonts w:ascii="Times New Roman" w:eastAsia="Times New Roman" w:hAnsi="Times New Roman" w:cs="Times New Roman"/>
          <w:sz w:val="24"/>
          <w:szCs w:val="24"/>
        </w:rPr>
        <w:t>En ochavas de esquinas y prolongación de las mismas hasta el cordón correspondiente;</w:t>
      </w:r>
    </w:p>
    <w:p w:rsidR="00D759A3" w:rsidRPr="00D759A3" w:rsidRDefault="00D759A3" w:rsidP="00D759A3">
      <w:pPr>
        <w:pStyle w:val="normal0"/>
        <w:numPr>
          <w:ilvl w:val="0"/>
          <w:numId w:val="7"/>
        </w:numPr>
        <w:spacing w:line="360" w:lineRule="auto"/>
        <w:jc w:val="both"/>
        <w:rPr>
          <w:rFonts w:ascii="Times New Roman" w:eastAsia="Times New Roman" w:hAnsi="Times New Roman" w:cs="Times New Roman"/>
          <w:sz w:val="24"/>
          <w:szCs w:val="24"/>
        </w:rPr>
      </w:pPr>
      <w:bookmarkStart w:id="27" w:name="_cqnpmruhgp6e" w:colFirst="0" w:colLast="0"/>
      <w:bookmarkEnd w:id="27"/>
      <w:r w:rsidRPr="00D759A3">
        <w:rPr>
          <w:rFonts w:ascii="Times New Roman" w:eastAsia="Times New Roman" w:hAnsi="Times New Roman" w:cs="Times New Roman"/>
          <w:sz w:val="24"/>
          <w:szCs w:val="24"/>
        </w:rPr>
        <w:t xml:space="preserve">A menos de diez (10) metros de las puertas de acceso a reparticiones públicas, establecimientos de enseñanza, salas de espectáculos, hospitales, sanatorios, templos de cualquier culto, bancos e instituciones de créditos; </w:t>
      </w:r>
    </w:p>
    <w:p w:rsidR="00D759A3" w:rsidRPr="00D759A3" w:rsidRDefault="00D759A3" w:rsidP="00D759A3">
      <w:pPr>
        <w:pStyle w:val="normal0"/>
        <w:numPr>
          <w:ilvl w:val="0"/>
          <w:numId w:val="7"/>
        </w:numPr>
        <w:spacing w:line="360" w:lineRule="auto"/>
        <w:jc w:val="both"/>
        <w:rPr>
          <w:rFonts w:ascii="Times New Roman" w:eastAsia="Times New Roman" w:hAnsi="Times New Roman" w:cs="Times New Roman"/>
          <w:sz w:val="24"/>
          <w:szCs w:val="24"/>
        </w:rPr>
      </w:pPr>
      <w:bookmarkStart w:id="28" w:name="_enuqtw83ynd1" w:colFirst="0" w:colLast="0"/>
      <w:bookmarkEnd w:id="28"/>
      <w:r w:rsidRPr="00D759A3">
        <w:rPr>
          <w:rFonts w:ascii="Times New Roman" w:eastAsia="Times New Roman" w:hAnsi="Times New Roman" w:cs="Times New Roman"/>
          <w:sz w:val="24"/>
          <w:szCs w:val="24"/>
        </w:rPr>
        <w:t xml:space="preserve">A menos de cincuenta (50) metros de comercios previamente instalados del mismo rubro. </w:t>
      </w:r>
    </w:p>
    <w:p w:rsidR="00D759A3" w:rsidRPr="00D759A3" w:rsidRDefault="00D759A3" w:rsidP="00D759A3">
      <w:pPr>
        <w:pStyle w:val="normal0"/>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p>
    <w:p w:rsidR="00D759A3" w:rsidRPr="00D759A3" w:rsidRDefault="00D759A3" w:rsidP="00D759A3">
      <w:pPr>
        <w:pStyle w:val="Ttulo"/>
        <w:spacing w:line="360" w:lineRule="auto"/>
        <w:ind w:left="3539" w:firstLine="709"/>
        <w:jc w:val="both"/>
        <w:rPr>
          <w:rFonts w:ascii="Times New Roman" w:eastAsia="Times New Roman" w:hAnsi="Times New Roman" w:cs="Times New Roman"/>
          <w:b/>
          <w:sz w:val="24"/>
          <w:szCs w:val="24"/>
        </w:rPr>
      </w:pPr>
      <w:r w:rsidRPr="00D759A3">
        <w:rPr>
          <w:rFonts w:ascii="Times New Roman" w:eastAsia="Times New Roman" w:hAnsi="Times New Roman" w:cs="Times New Roman"/>
          <w:b/>
          <w:sz w:val="24"/>
          <w:szCs w:val="24"/>
        </w:rPr>
        <w:t>Título IV</w:t>
      </w:r>
    </w:p>
    <w:p w:rsidR="00D759A3" w:rsidRPr="00D759A3" w:rsidRDefault="00D759A3" w:rsidP="00D759A3">
      <w:pPr>
        <w:pStyle w:val="Ttulo"/>
        <w:spacing w:line="360" w:lineRule="auto"/>
        <w:ind w:left="1415" w:firstLine="709"/>
        <w:jc w:val="both"/>
        <w:rPr>
          <w:rFonts w:ascii="Times New Roman" w:eastAsia="Times New Roman" w:hAnsi="Times New Roman" w:cs="Times New Roman"/>
          <w:b/>
          <w:sz w:val="24"/>
          <w:szCs w:val="24"/>
        </w:rPr>
      </w:pPr>
      <w:r w:rsidRPr="00D759A3">
        <w:rPr>
          <w:rFonts w:ascii="Times New Roman" w:eastAsia="Times New Roman" w:hAnsi="Times New Roman" w:cs="Times New Roman"/>
          <w:b/>
          <w:sz w:val="24"/>
          <w:szCs w:val="24"/>
        </w:rPr>
        <w:t>De los permisos de venta en el espacio público</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17°.- Permisos</w:t>
      </w:r>
      <w:r w:rsidRPr="00D759A3">
        <w:rPr>
          <w:rFonts w:ascii="Times New Roman" w:eastAsia="Times New Roman" w:hAnsi="Times New Roman" w:cs="Times New Roman"/>
          <w:sz w:val="24"/>
          <w:szCs w:val="24"/>
        </w:rPr>
        <w:t xml:space="preserve">. Los permisos serán personales e intransferibles, se otorgarán en forma anual y serán  renovables automáticamente a excepción de que haya una solicitud expresa del/la titular para su baja. </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Ningún permisionario/a podrá ser titular de más de un permiso. Los permisos no serán susceptibles de venta ni permuta.</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No podrá otorgarse permisos a titulares de un comercio habilitado.</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18°.</w:t>
      </w:r>
      <w:r w:rsidRPr="00D759A3">
        <w:rPr>
          <w:rFonts w:ascii="Times New Roman" w:eastAsia="Times New Roman" w:hAnsi="Times New Roman" w:cs="Times New Roman"/>
          <w:sz w:val="24"/>
          <w:szCs w:val="24"/>
        </w:rPr>
        <w:t xml:space="preserve">- </w:t>
      </w:r>
      <w:r w:rsidRPr="00D759A3">
        <w:rPr>
          <w:rFonts w:ascii="Times New Roman" w:eastAsia="Times New Roman" w:hAnsi="Times New Roman" w:cs="Times New Roman"/>
          <w:b/>
          <w:sz w:val="24"/>
          <w:szCs w:val="24"/>
        </w:rPr>
        <w:t>Designación de suplente</w:t>
      </w:r>
      <w:r w:rsidRPr="00D759A3">
        <w:rPr>
          <w:rFonts w:ascii="Times New Roman" w:eastAsia="Times New Roman" w:hAnsi="Times New Roman" w:cs="Times New Roman"/>
          <w:sz w:val="24"/>
          <w:szCs w:val="24"/>
        </w:rPr>
        <w:t>. Al momento de solicitar el permiso, cada titular podrá designar un suplente, el cual deberá cumplimentar los mismos requisitos exigidos para el titular y deberá contar con la autorización expresa de la Autoridad de Aplicación. Cualquier modificación en la designación deberá ser comunicada por el/la titular a la Autoridad de Aplicación.</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La presencia de el/la suplente en el puesto fijo a pedido del permisionario/a solo podrá requerirse por motivos circunstanciales que lo ameriten y no podrá en ningún caso ser permanente.</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 </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lastRenderedPageBreak/>
        <w:t>Artículo 19°.- Requisitos para solicitar el permiso</w:t>
      </w:r>
      <w:r w:rsidRPr="00D759A3">
        <w:rPr>
          <w:rFonts w:ascii="Times New Roman" w:eastAsia="Times New Roman" w:hAnsi="Times New Roman" w:cs="Times New Roman"/>
          <w:sz w:val="24"/>
          <w:szCs w:val="24"/>
        </w:rPr>
        <w:t>. El interesado/</w:t>
      </w:r>
      <w:proofErr w:type="spellStart"/>
      <w:r w:rsidRPr="00D759A3">
        <w:rPr>
          <w:rFonts w:ascii="Times New Roman" w:eastAsia="Times New Roman" w:hAnsi="Times New Roman" w:cs="Times New Roman"/>
          <w:sz w:val="24"/>
          <w:szCs w:val="24"/>
        </w:rPr>
        <w:t>a</w:t>
      </w:r>
      <w:proofErr w:type="spellEnd"/>
      <w:r w:rsidRPr="00D759A3">
        <w:rPr>
          <w:rFonts w:ascii="Times New Roman" w:eastAsia="Times New Roman" w:hAnsi="Times New Roman" w:cs="Times New Roman"/>
          <w:sz w:val="24"/>
          <w:szCs w:val="24"/>
        </w:rPr>
        <w:t xml:space="preserve"> en obtener permiso de venta en la vía pública con puesto fijo desmontable o permanente deberá acreditar ante la Autoridad de Aplicación:</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p>
    <w:p w:rsidR="00D759A3" w:rsidRPr="00D759A3" w:rsidRDefault="00D759A3" w:rsidP="00D759A3">
      <w:pPr>
        <w:pStyle w:val="normal0"/>
        <w:numPr>
          <w:ilvl w:val="0"/>
          <w:numId w:val="12"/>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Documento Nacional de Identidad (DNI). En el caso de las personas migrantes que se encuentren en trámite para la consecución del DNI se admitirá la presentación del certificado de residencia precaria, que deberá ser actualizado con la presentación del DNI una vez que haya finalizado el trámite ante la Dirección Nacional de Migraciones. Para aquellos casos en que una persona migrante no cuente con el Documento Nacional de Identidad, la Autoridad de Aplicación deberá disponer el asesoramiento social y legal correspondiente para iniciar el trámite de regularización migratoria con miras a que una vez regularizada su situación, la persona pueda acceder al permiso de venta en vía pública.</w:t>
      </w:r>
    </w:p>
    <w:p w:rsidR="00D759A3" w:rsidRPr="00D759A3" w:rsidRDefault="00D759A3" w:rsidP="00D759A3">
      <w:pPr>
        <w:pStyle w:val="normal0"/>
        <w:numPr>
          <w:ilvl w:val="0"/>
          <w:numId w:val="12"/>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Ser mayor de 18 años o ser adolescentes con capacidad de ejercer el trabajo en aquellos casos habilitados por la Ley Nacional 20.744.</w:t>
      </w:r>
    </w:p>
    <w:p w:rsidR="00D759A3" w:rsidRPr="00D759A3" w:rsidRDefault="00D759A3" w:rsidP="00D759A3">
      <w:pPr>
        <w:pStyle w:val="normal0"/>
        <w:numPr>
          <w:ilvl w:val="0"/>
          <w:numId w:val="12"/>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Declaración jurada de residencia en la Ciudad Autónoma de Buenos Aires, que funcionará como domicilio para notificaciones formales. </w:t>
      </w:r>
    </w:p>
    <w:p w:rsidR="00D759A3" w:rsidRPr="00D759A3" w:rsidRDefault="00D759A3" w:rsidP="00D759A3">
      <w:pPr>
        <w:pStyle w:val="normal0"/>
        <w:numPr>
          <w:ilvl w:val="0"/>
          <w:numId w:val="12"/>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Especificación del tipo de permiso a obtener y la zona cuya ocupación se solicite. Se habilitará la inscripción en hasta tres (3) rubros dentro de los definidos en el artículo 4º. </w:t>
      </w:r>
    </w:p>
    <w:p w:rsidR="00D759A3" w:rsidRPr="00D759A3" w:rsidRDefault="00D759A3" w:rsidP="00D759A3">
      <w:pPr>
        <w:pStyle w:val="normal0"/>
        <w:numPr>
          <w:ilvl w:val="0"/>
          <w:numId w:val="12"/>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Declaración jurada que acredite la propiedad y procedencia de la mercadería.</w:t>
      </w:r>
    </w:p>
    <w:p w:rsidR="00D759A3" w:rsidRPr="00D759A3" w:rsidRDefault="00D759A3" w:rsidP="00D759A3">
      <w:pPr>
        <w:pStyle w:val="normal0"/>
        <w:numPr>
          <w:ilvl w:val="0"/>
          <w:numId w:val="12"/>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Inscripción en AFIP. </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20°.- Trámite para la solicitud del permiso</w:t>
      </w:r>
      <w:r w:rsidRPr="00D759A3">
        <w:rPr>
          <w:rFonts w:ascii="Times New Roman" w:eastAsia="Times New Roman" w:hAnsi="Times New Roman" w:cs="Times New Roman"/>
          <w:sz w:val="24"/>
          <w:szCs w:val="24"/>
        </w:rPr>
        <w:t xml:space="preserve">. La solicitud de los permisos será expresa y personal, cada solicitante deberá concurrir a los lugares dispuestos para tal fin por la Autoridad de Aplicación presentando la documentación enunciada en el artículo 19° de la presente norma. </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Las personas que accedan a realizar el relevamiento dispuesto en el artículo 8° podrán solicitar la adjudicación de un permiso en el mismo trámite. En caso contrario, la Autoridad de Aplicación definirá la fecha de apertura para la solicitud de permisos, debiendo acordarla con la Comisión de seguimiento y difundirla ampliamente por medios físicos y digitales. </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Durante la vigencia de la presente norma la Autoridad de Aplicación mantendrá abierta al menos una ventanilla para la gestión de nuevas solicitudes de permisos y bajas de los mismos. En caso de que el total de los puestos fijos permanentes y fijos desmontables disponibles se encuentre asignada a permisionarias/os, la Autoridad de Aplicación </w:t>
      </w:r>
      <w:r w:rsidRPr="00D759A3">
        <w:rPr>
          <w:rFonts w:ascii="Times New Roman" w:eastAsia="Times New Roman" w:hAnsi="Times New Roman" w:cs="Times New Roman"/>
          <w:sz w:val="24"/>
          <w:szCs w:val="24"/>
        </w:rPr>
        <w:lastRenderedPageBreak/>
        <w:t xml:space="preserve">conformará un listado de solicitudes pendientes, ordenado de acuerdo a los criterios de asignación prioritaria definidos en el marco de la Comisión de Seguimiento. </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21°.- De los permisos de Venta con puesto fijo desmontable</w:t>
      </w:r>
      <w:r w:rsidRPr="00D759A3">
        <w:rPr>
          <w:rFonts w:ascii="Times New Roman" w:eastAsia="Times New Roman" w:hAnsi="Times New Roman" w:cs="Times New Roman"/>
          <w:sz w:val="24"/>
          <w:szCs w:val="24"/>
        </w:rPr>
        <w:t xml:space="preserve">. El permiso de venta con puesto fijo desmontable otorgará autorización al titular para ocupar el espacio definido por la Autoridad de Aplicación utilizando el mobiliario dispuesto por la reglamentación de la presente norma. </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Las/os permisionarias/os de esta categoría deberán pagar un canon mensual por el uso de la vía pública, según la Zona asignada por la Autoridad de Aplicación para la ubicación del puesto fijo desmontable, de acuerdo con el siguiente cuadro.</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p>
    <w:tbl>
      <w:tblPr>
        <w:tblW w:w="3270"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1290"/>
        <w:gridCol w:w="1980"/>
      </w:tblGrid>
      <w:tr w:rsidR="00D759A3" w:rsidRPr="00D759A3" w:rsidTr="00BE3D2E">
        <w:trPr>
          <w:trHeight w:val="600"/>
        </w:trPr>
        <w:tc>
          <w:tcPr>
            <w:tcW w:w="3270"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Canon puesto fijo desmontable</w:t>
            </w:r>
          </w:p>
        </w:tc>
      </w:tr>
      <w:tr w:rsidR="00D759A3" w:rsidRPr="00D759A3" w:rsidTr="00BE3D2E">
        <w:trPr>
          <w:trHeight w:val="690"/>
        </w:trPr>
        <w:tc>
          <w:tcPr>
            <w:tcW w:w="129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b/>
                <w:color w:val="3A3939"/>
                <w:sz w:val="24"/>
                <w:szCs w:val="24"/>
              </w:rPr>
              <w:t>ZONA</w:t>
            </w: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b/>
                <w:color w:val="3A3939"/>
                <w:sz w:val="24"/>
                <w:szCs w:val="24"/>
              </w:rPr>
              <w:t>IMPORTE MENSUAL (en Unidades Fijas)</w:t>
            </w:r>
          </w:p>
        </w:tc>
      </w:tr>
      <w:tr w:rsidR="00D759A3" w:rsidRPr="00D759A3" w:rsidTr="00BE3D2E">
        <w:trPr>
          <w:trHeight w:val="300"/>
        </w:trPr>
        <w:tc>
          <w:tcPr>
            <w:tcW w:w="129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color w:val="3A3939"/>
                <w:sz w:val="24"/>
                <w:szCs w:val="24"/>
              </w:rPr>
              <w:t>1</w:t>
            </w: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color w:val="3A3939"/>
                <w:sz w:val="24"/>
                <w:szCs w:val="24"/>
              </w:rPr>
              <w:t>180</w:t>
            </w:r>
          </w:p>
        </w:tc>
      </w:tr>
      <w:tr w:rsidR="00D759A3" w:rsidRPr="00D759A3" w:rsidTr="00BE3D2E">
        <w:trPr>
          <w:trHeight w:val="300"/>
        </w:trPr>
        <w:tc>
          <w:tcPr>
            <w:tcW w:w="129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color w:val="3A3939"/>
                <w:sz w:val="24"/>
                <w:szCs w:val="24"/>
              </w:rPr>
              <w:t>2</w:t>
            </w: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color w:val="3A3939"/>
                <w:sz w:val="24"/>
                <w:szCs w:val="24"/>
              </w:rPr>
              <w:t>120</w:t>
            </w:r>
          </w:p>
        </w:tc>
      </w:tr>
      <w:tr w:rsidR="00D759A3" w:rsidRPr="00D759A3" w:rsidTr="00BE3D2E">
        <w:trPr>
          <w:trHeight w:val="300"/>
        </w:trPr>
        <w:tc>
          <w:tcPr>
            <w:tcW w:w="129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color w:val="3A3939"/>
                <w:sz w:val="24"/>
                <w:szCs w:val="24"/>
              </w:rPr>
              <w:t>3</w:t>
            </w: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color w:val="3A3939"/>
                <w:sz w:val="24"/>
                <w:szCs w:val="24"/>
              </w:rPr>
              <w:t>50</w:t>
            </w:r>
          </w:p>
        </w:tc>
      </w:tr>
    </w:tbl>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 </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22°.- De los permisos de Venta con puesto fijo permanente</w:t>
      </w:r>
      <w:r w:rsidRPr="00D759A3">
        <w:rPr>
          <w:rFonts w:ascii="Times New Roman" w:eastAsia="Times New Roman" w:hAnsi="Times New Roman" w:cs="Times New Roman"/>
          <w:sz w:val="24"/>
          <w:szCs w:val="24"/>
        </w:rPr>
        <w:t xml:space="preserve">. El permiso de venta con puesto fijo permanente otorgará autorización al titular para ocupar el espacio definido por la Autoridad de Aplicación utilizando el mobiliario fijo otorgado por la misma, acorde a la reglamentación de la presente norma. </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Las/os permisionarias/os de esta categoría deberán pagar un canon mensual por el uso de la vía pública y la locación del mobiliario, según la Zona asignada por la Autoridad de Aplicación para la ubicación del puesto fijo permanente, de acuerdo con el siguiente cuadro.</w:t>
      </w:r>
    </w:p>
    <w:p w:rsidR="00D759A3" w:rsidRPr="00D759A3" w:rsidRDefault="00D759A3" w:rsidP="00D759A3">
      <w:pPr>
        <w:pStyle w:val="normal0"/>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p>
    <w:tbl>
      <w:tblPr>
        <w:tblW w:w="3030" w:type="dxa"/>
        <w:tblInd w:w="-60" w:type="dxa"/>
        <w:tblBorders>
          <w:top w:val="single" w:sz="4" w:space="0" w:color="212529"/>
          <w:left w:val="single" w:sz="4" w:space="0" w:color="212529"/>
          <w:bottom w:val="single" w:sz="4" w:space="0" w:color="212529"/>
          <w:right w:val="single" w:sz="4" w:space="0" w:color="212529"/>
          <w:insideH w:val="single" w:sz="4" w:space="0" w:color="212529"/>
          <w:insideV w:val="single" w:sz="4" w:space="0" w:color="212529"/>
        </w:tblBorders>
        <w:tblLayout w:type="fixed"/>
        <w:tblLook w:val="0600"/>
      </w:tblPr>
      <w:tblGrid>
        <w:gridCol w:w="1110"/>
        <w:gridCol w:w="1920"/>
      </w:tblGrid>
      <w:tr w:rsidR="00D759A3" w:rsidRPr="00D759A3" w:rsidTr="00BE3D2E">
        <w:trPr>
          <w:trHeight w:val="600"/>
          <w:tblHeader/>
        </w:trPr>
        <w:tc>
          <w:tcPr>
            <w:tcW w:w="3030" w:type="dxa"/>
            <w:gridSpan w:val="2"/>
            <w:tcBorders>
              <w:top w:val="single" w:sz="4" w:space="0" w:color="212529"/>
              <w:left w:val="single" w:sz="4" w:space="0" w:color="212529"/>
              <w:bottom w:val="single" w:sz="4" w:space="0" w:color="212529"/>
              <w:right w:val="single" w:sz="4" w:space="0" w:color="212529"/>
            </w:tcBorders>
            <w:tcMar>
              <w:top w:w="0" w:type="dxa"/>
              <w:left w:w="40" w:type="dxa"/>
              <w:bottom w:w="0" w:type="dxa"/>
              <w:right w:w="40" w:type="dxa"/>
            </w:tcMar>
            <w:vAlign w:val="cente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Canon Puesto fijo permanente</w:t>
            </w:r>
          </w:p>
        </w:tc>
      </w:tr>
      <w:tr w:rsidR="00D759A3" w:rsidRPr="00D759A3" w:rsidTr="00BE3D2E">
        <w:trPr>
          <w:trHeight w:val="690"/>
        </w:trPr>
        <w:tc>
          <w:tcPr>
            <w:tcW w:w="1110" w:type="dxa"/>
            <w:tcBorders>
              <w:top w:val="single" w:sz="4" w:space="0" w:color="212529"/>
              <w:left w:val="single" w:sz="4" w:space="0" w:color="212529"/>
              <w:bottom w:val="single" w:sz="4" w:space="0" w:color="212529"/>
              <w:right w:val="single" w:sz="4" w:space="0" w:color="212529"/>
            </w:tcBorders>
            <w:shd w:val="clear" w:color="auto" w:fill="FFFFFF"/>
            <w:tcMar>
              <w:top w:w="0" w:type="dxa"/>
              <w:left w:w="40" w:type="dxa"/>
              <w:bottom w:w="0" w:type="dxa"/>
              <w:right w:w="40" w:type="dxa"/>
            </w:tcMar>
            <w:vAlign w:val="cente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b/>
                <w:color w:val="3A3939"/>
                <w:sz w:val="24"/>
                <w:szCs w:val="24"/>
              </w:rPr>
              <w:t>ZONA</w:t>
            </w:r>
          </w:p>
        </w:tc>
        <w:tc>
          <w:tcPr>
            <w:tcW w:w="1920" w:type="dxa"/>
            <w:tcBorders>
              <w:top w:val="single" w:sz="4" w:space="0" w:color="212529"/>
              <w:left w:val="single" w:sz="4" w:space="0" w:color="212529"/>
              <w:bottom w:val="single" w:sz="4" w:space="0" w:color="212529"/>
              <w:right w:val="single" w:sz="4" w:space="0" w:color="212529"/>
            </w:tcBorders>
            <w:shd w:val="clear" w:color="auto" w:fill="FFFFFF"/>
            <w:tcMar>
              <w:top w:w="0" w:type="dxa"/>
              <w:left w:w="40" w:type="dxa"/>
              <w:bottom w:w="0" w:type="dxa"/>
              <w:right w:w="40" w:type="dxa"/>
            </w:tcMar>
            <w:vAlign w:val="cente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b/>
                <w:color w:val="3A3939"/>
                <w:sz w:val="24"/>
                <w:szCs w:val="24"/>
              </w:rPr>
              <w:t>IMPORTE MENSUAL (en Unidades Fijas)</w:t>
            </w:r>
          </w:p>
        </w:tc>
      </w:tr>
      <w:tr w:rsidR="00D759A3" w:rsidRPr="00D759A3" w:rsidTr="00BE3D2E">
        <w:trPr>
          <w:trHeight w:val="300"/>
        </w:trPr>
        <w:tc>
          <w:tcPr>
            <w:tcW w:w="1110" w:type="dxa"/>
            <w:tcBorders>
              <w:top w:val="single" w:sz="4" w:space="0" w:color="212529"/>
              <w:left w:val="single" w:sz="4" w:space="0" w:color="212529"/>
              <w:bottom w:val="single" w:sz="4" w:space="0" w:color="212529"/>
              <w:right w:val="single" w:sz="4" w:space="0" w:color="212529"/>
            </w:tcBorders>
            <w:shd w:val="clear" w:color="auto" w:fill="FFFFFF"/>
            <w:tcMar>
              <w:top w:w="0" w:type="dxa"/>
              <w:left w:w="40" w:type="dxa"/>
              <w:bottom w:w="0" w:type="dxa"/>
              <w:right w:w="40" w:type="dxa"/>
            </w:tcMa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color w:val="3A3939"/>
                <w:sz w:val="24"/>
                <w:szCs w:val="24"/>
              </w:rPr>
              <w:t>1</w:t>
            </w:r>
          </w:p>
        </w:tc>
        <w:tc>
          <w:tcPr>
            <w:tcW w:w="1920" w:type="dxa"/>
            <w:tcBorders>
              <w:top w:val="single" w:sz="4" w:space="0" w:color="212529"/>
              <w:left w:val="single" w:sz="4" w:space="0" w:color="212529"/>
              <w:bottom w:val="single" w:sz="4" w:space="0" w:color="212529"/>
              <w:right w:val="single" w:sz="4" w:space="0" w:color="212529"/>
            </w:tcBorders>
            <w:shd w:val="clear" w:color="auto" w:fill="FFFFFF"/>
            <w:tcMar>
              <w:top w:w="0" w:type="dxa"/>
              <w:left w:w="40" w:type="dxa"/>
              <w:bottom w:w="0" w:type="dxa"/>
              <w:right w:w="40" w:type="dxa"/>
            </w:tcMar>
            <w:vAlign w:val="cente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color w:val="3A3939"/>
                <w:sz w:val="24"/>
                <w:szCs w:val="24"/>
              </w:rPr>
              <w:t>250</w:t>
            </w:r>
          </w:p>
        </w:tc>
      </w:tr>
      <w:tr w:rsidR="00D759A3" w:rsidRPr="00D759A3" w:rsidTr="00BE3D2E">
        <w:trPr>
          <w:trHeight w:val="300"/>
        </w:trPr>
        <w:tc>
          <w:tcPr>
            <w:tcW w:w="1110" w:type="dxa"/>
            <w:tcBorders>
              <w:top w:val="single" w:sz="4" w:space="0" w:color="212529"/>
              <w:left w:val="single" w:sz="4" w:space="0" w:color="212529"/>
              <w:bottom w:val="single" w:sz="4" w:space="0" w:color="212529"/>
              <w:right w:val="single" w:sz="4" w:space="0" w:color="212529"/>
            </w:tcBorders>
            <w:shd w:val="clear" w:color="auto" w:fill="FFFFFF"/>
            <w:tcMar>
              <w:top w:w="0" w:type="dxa"/>
              <w:left w:w="40" w:type="dxa"/>
              <w:bottom w:w="0" w:type="dxa"/>
              <w:right w:w="40" w:type="dxa"/>
            </w:tcMa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color w:val="3A3939"/>
                <w:sz w:val="24"/>
                <w:szCs w:val="24"/>
              </w:rPr>
              <w:lastRenderedPageBreak/>
              <w:t>2</w:t>
            </w:r>
          </w:p>
        </w:tc>
        <w:tc>
          <w:tcPr>
            <w:tcW w:w="1920" w:type="dxa"/>
            <w:tcBorders>
              <w:top w:val="single" w:sz="4" w:space="0" w:color="212529"/>
              <w:left w:val="single" w:sz="4" w:space="0" w:color="212529"/>
              <w:bottom w:val="single" w:sz="4" w:space="0" w:color="212529"/>
              <w:right w:val="single" w:sz="4" w:space="0" w:color="212529"/>
            </w:tcBorders>
            <w:shd w:val="clear" w:color="auto" w:fill="FFFFFF"/>
            <w:tcMar>
              <w:top w:w="0" w:type="dxa"/>
              <w:left w:w="40" w:type="dxa"/>
              <w:bottom w:w="0" w:type="dxa"/>
              <w:right w:w="40" w:type="dxa"/>
            </w:tcMar>
            <w:vAlign w:val="cente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color w:val="3A3939"/>
                <w:sz w:val="24"/>
                <w:szCs w:val="24"/>
              </w:rPr>
              <w:t>150</w:t>
            </w:r>
          </w:p>
        </w:tc>
      </w:tr>
      <w:tr w:rsidR="00D759A3" w:rsidRPr="00D759A3" w:rsidTr="00BE3D2E">
        <w:trPr>
          <w:trHeight w:val="300"/>
        </w:trPr>
        <w:tc>
          <w:tcPr>
            <w:tcW w:w="1110" w:type="dxa"/>
            <w:tcBorders>
              <w:top w:val="single" w:sz="4" w:space="0" w:color="212529"/>
              <w:left w:val="single" w:sz="4" w:space="0" w:color="212529"/>
              <w:bottom w:val="single" w:sz="4" w:space="0" w:color="212529"/>
              <w:right w:val="single" w:sz="4" w:space="0" w:color="212529"/>
            </w:tcBorders>
            <w:shd w:val="clear" w:color="auto" w:fill="FFFFFF"/>
            <w:tcMar>
              <w:top w:w="0" w:type="dxa"/>
              <w:left w:w="40" w:type="dxa"/>
              <w:bottom w:w="0" w:type="dxa"/>
              <w:right w:w="40" w:type="dxa"/>
            </w:tcMa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color w:val="3A3939"/>
                <w:sz w:val="24"/>
                <w:szCs w:val="24"/>
              </w:rPr>
              <w:t>3</w:t>
            </w:r>
          </w:p>
        </w:tc>
        <w:tc>
          <w:tcPr>
            <w:tcW w:w="1920" w:type="dxa"/>
            <w:tcBorders>
              <w:top w:val="single" w:sz="4" w:space="0" w:color="212529"/>
              <w:left w:val="single" w:sz="4" w:space="0" w:color="212529"/>
              <w:bottom w:val="single" w:sz="4" w:space="0" w:color="212529"/>
              <w:right w:val="single" w:sz="4" w:space="0" w:color="212529"/>
            </w:tcBorders>
            <w:shd w:val="clear" w:color="auto" w:fill="FFFFFF"/>
            <w:tcMar>
              <w:top w:w="0" w:type="dxa"/>
              <w:left w:w="40" w:type="dxa"/>
              <w:bottom w:w="0" w:type="dxa"/>
              <w:right w:w="40" w:type="dxa"/>
            </w:tcMar>
            <w:vAlign w:val="center"/>
          </w:tcPr>
          <w:p w:rsidR="00D759A3" w:rsidRPr="00D759A3" w:rsidRDefault="00D759A3" w:rsidP="00D759A3">
            <w:pPr>
              <w:pStyle w:val="normal0"/>
              <w:widowControl w:v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color w:val="3A3939"/>
                <w:sz w:val="24"/>
                <w:szCs w:val="24"/>
              </w:rPr>
              <w:t>80</w:t>
            </w:r>
          </w:p>
        </w:tc>
      </w:tr>
    </w:tbl>
    <w:p w:rsidR="00D759A3" w:rsidRPr="00D759A3" w:rsidRDefault="00D759A3" w:rsidP="00D759A3">
      <w:pPr>
        <w:pStyle w:val="normal0"/>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p>
    <w:p w:rsidR="00D759A3" w:rsidRPr="00D759A3" w:rsidRDefault="00D759A3" w:rsidP="00D759A3">
      <w:pPr>
        <w:pStyle w:val="normal0"/>
        <w:pBdr>
          <w:top w:val="nil"/>
          <w:left w:val="nil"/>
          <w:bottom w:val="nil"/>
          <w:right w:val="nil"/>
          <w:between w:val="nil"/>
        </w:pBdr>
        <w:spacing w:line="360" w:lineRule="auto"/>
        <w:ind w:firstLine="720"/>
        <w:jc w:val="both"/>
        <w:rPr>
          <w:rFonts w:ascii="Times New Roman" w:eastAsia="Times New Roman" w:hAnsi="Times New Roman" w:cs="Times New Roman"/>
          <w:sz w:val="24"/>
          <w:szCs w:val="24"/>
          <w:highlight w:val="white"/>
        </w:rPr>
      </w:pPr>
      <w:r w:rsidRPr="00D759A3">
        <w:rPr>
          <w:rFonts w:ascii="Times New Roman" w:eastAsia="Times New Roman" w:hAnsi="Times New Roman" w:cs="Times New Roman"/>
          <w:b/>
          <w:sz w:val="24"/>
          <w:szCs w:val="24"/>
        </w:rPr>
        <w:t xml:space="preserve">Artículo 23°: Destino de los recursos. </w:t>
      </w:r>
      <w:r w:rsidRPr="00D759A3">
        <w:rPr>
          <w:rFonts w:ascii="Times New Roman" w:eastAsia="Times New Roman" w:hAnsi="Times New Roman" w:cs="Times New Roman"/>
          <w:sz w:val="24"/>
          <w:szCs w:val="24"/>
          <w:highlight w:val="white"/>
        </w:rPr>
        <w:t>Créase el Fondo para el Desarrollo de la Economía Popular en el Espacio Público Habilitado, el cual estará formado por el cincuenta por ciento (50%) de los recursos correspondientes al canon por la concesión de los permisos de venta con puestos fijos y los permisos de venta con puestos desmontables.  Los recursos del Fondo serán destinados a los siguientes fines:</w:t>
      </w:r>
    </w:p>
    <w:p w:rsidR="00D759A3" w:rsidRPr="00D759A3" w:rsidRDefault="00D759A3" w:rsidP="00D759A3">
      <w:pPr>
        <w:pStyle w:val="normal0"/>
        <w:numPr>
          <w:ilvl w:val="0"/>
          <w:numId w:val="4"/>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Otorgamiento de microcréditos a los comerciantes de la economía popular, con perspectiva de género y diversidad.</w:t>
      </w:r>
    </w:p>
    <w:p w:rsidR="00D759A3" w:rsidRPr="00D759A3" w:rsidRDefault="00D759A3" w:rsidP="00D759A3">
      <w:pPr>
        <w:pStyle w:val="normal0"/>
        <w:numPr>
          <w:ilvl w:val="0"/>
          <w:numId w:val="4"/>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Mejoras en los puestos de venta fijos y desmontables. </w:t>
      </w:r>
    </w:p>
    <w:p w:rsidR="00D759A3" w:rsidRPr="00D759A3" w:rsidRDefault="00D759A3" w:rsidP="00D759A3">
      <w:pPr>
        <w:pStyle w:val="normal0"/>
        <w:numPr>
          <w:ilvl w:val="0"/>
          <w:numId w:val="4"/>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Mejoras en la infraestructura y las herramientas de trabajo de los comedores y espacios comunitarios de las organizaciones de la economía popular.</w:t>
      </w:r>
    </w:p>
    <w:p w:rsidR="00D759A3" w:rsidRPr="00D759A3" w:rsidRDefault="00D759A3" w:rsidP="00D759A3">
      <w:pPr>
        <w:pStyle w:val="normal0"/>
        <w:pBdr>
          <w:top w:val="nil"/>
          <w:left w:val="nil"/>
          <w:bottom w:val="nil"/>
          <w:right w:val="nil"/>
          <w:between w:val="nil"/>
        </w:pBdr>
        <w:spacing w:line="360" w:lineRule="auto"/>
        <w:jc w:val="both"/>
        <w:rPr>
          <w:rFonts w:ascii="Times New Roman" w:eastAsia="Times New Roman" w:hAnsi="Times New Roman" w:cs="Times New Roman"/>
          <w:sz w:val="24"/>
          <w:szCs w:val="24"/>
        </w:rPr>
      </w:pPr>
    </w:p>
    <w:p w:rsidR="00D759A3" w:rsidRPr="00D759A3" w:rsidRDefault="00D759A3" w:rsidP="00D759A3">
      <w:pPr>
        <w:pStyle w:val="normal0"/>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24°.-</w:t>
      </w:r>
      <w:r w:rsidRPr="00D759A3">
        <w:rPr>
          <w:rFonts w:ascii="Times New Roman" w:eastAsia="Times New Roman" w:hAnsi="Times New Roman" w:cs="Times New Roman"/>
          <w:sz w:val="24"/>
          <w:szCs w:val="24"/>
        </w:rPr>
        <w:t xml:space="preserve"> </w:t>
      </w:r>
      <w:r w:rsidRPr="00D759A3">
        <w:rPr>
          <w:rFonts w:ascii="Times New Roman" w:eastAsia="Times New Roman" w:hAnsi="Times New Roman" w:cs="Times New Roman"/>
          <w:b/>
          <w:sz w:val="24"/>
          <w:szCs w:val="24"/>
        </w:rPr>
        <w:t>De la acreditación de los permisos</w:t>
      </w:r>
      <w:r w:rsidRPr="00D759A3">
        <w:rPr>
          <w:rFonts w:ascii="Times New Roman" w:eastAsia="Times New Roman" w:hAnsi="Times New Roman" w:cs="Times New Roman"/>
          <w:sz w:val="24"/>
          <w:szCs w:val="24"/>
        </w:rPr>
        <w:t>. Las/os permisionarias/os deberán exhibir a la Autoridad competente la credencial que acredite el permiso vigente. A tal fin, se podrá establecer un sistema de identificación por Código QR, sistemas similares o los que determine la Autoridad de Aplicación y que permitan la identificación y lectura de los datos y de las condiciones incluidas en el Permiso de venta en el espacio público. Dicha obligación se extiende a las personas autorizadas por la presente norma para ejercer los derechos que otorga el permiso de venta.</w:t>
      </w:r>
    </w:p>
    <w:p w:rsidR="00D759A3" w:rsidRPr="00D759A3" w:rsidRDefault="00D759A3" w:rsidP="00D759A3">
      <w:pPr>
        <w:pStyle w:val="normal0"/>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 xml:space="preserve">Artículo 25°.- Causas de revocación de permiso. </w:t>
      </w:r>
      <w:r w:rsidRPr="00D759A3">
        <w:rPr>
          <w:rFonts w:ascii="Times New Roman" w:eastAsia="Times New Roman" w:hAnsi="Times New Roman" w:cs="Times New Roman"/>
          <w:sz w:val="24"/>
          <w:szCs w:val="24"/>
        </w:rPr>
        <w:t xml:space="preserve">La Autoridad de Aplicación podrá revocar los permisos ante la reiteración de las siguientes causas: </w:t>
      </w:r>
    </w:p>
    <w:p w:rsidR="00D759A3" w:rsidRPr="00D759A3" w:rsidRDefault="00D759A3" w:rsidP="00D759A3">
      <w:pPr>
        <w:pStyle w:val="normal0"/>
        <w:numPr>
          <w:ilvl w:val="0"/>
          <w:numId w:val="9"/>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falta de pago del canon correspondiente por un período consecutivo de tres (3) meses a excepción de situaciones de fuerza mayor debidamente comunicadas;</w:t>
      </w:r>
    </w:p>
    <w:p w:rsidR="00D759A3" w:rsidRPr="00D759A3" w:rsidRDefault="00D759A3" w:rsidP="00D759A3">
      <w:pPr>
        <w:pStyle w:val="normal0"/>
        <w:numPr>
          <w:ilvl w:val="0"/>
          <w:numId w:val="9"/>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venta de productos distintos de los autorizados;</w:t>
      </w:r>
    </w:p>
    <w:p w:rsidR="00D759A3" w:rsidRPr="00D759A3" w:rsidRDefault="00D759A3" w:rsidP="00D759A3">
      <w:pPr>
        <w:pStyle w:val="normal0"/>
        <w:numPr>
          <w:ilvl w:val="0"/>
          <w:numId w:val="9"/>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localización distinta de la autorizada;</w:t>
      </w:r>
    </w:p>
    <w:p w:rsidR="00D759A3" w:rsidRPr="00D759A3" w:rsidRDefault="00D759A3" w:rsidP="00D759A3">
      <w:pPr>
        <w:pStyle w:val="normal0"/>
        <w:numPr>
          <w:ilvl w:val="0"/>
          <w:numId w:val="9"/>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el uso de bocinas, altoparlantes, megáfonos, equipos de sonido, sirenas, silbatos, cohetes, petardos o cualquier otro medio sonoro y/o visual que por su intensidad, tipo o duración y/o persistencia, pueda perturbar y/o dañar la salud, tranquilidad y bienestar de las personas permisionarias de los espacios y del público en general. Al respecto, remítase a lo establecido por el </w:t>
      </w:r>
      <w:r w:rsidRPr="00D759A3">
        <w:rPr>
          <w:rFonts w:ascii="Times New Roman" w:eastAsia="Times New Roman" w:hAnsi="Times New Roman" w:cs="Times New Roman"/>
          <w:sz w:val="24"/>
          <w:szCs w:val="24"/>
        </w:rPr>
        <w:lastRenderedPageBreak/>
        <w:t xml:space="preserve">artículo 82 del Código </w:t>
      </w:r>
      <w:proofErr w:type="spellStart"/>
      <w:r w:rsidRPr="00D759A3">
        <w:rPr>
          <w:rFonts w:ascii="Times New Roman" w:eastAsia="Times New Roman" w:hAnsi="Times New Roman" w:cs="Times New Roman"/>
          <w:sz w:val="24"/>
          <w:szCs w:val="24"/>
        </w:rPr>
        <w:t>Contravencional</w:t>
      </w:r>
      <w:proofErr w:type="spellEnd"/>
      <w:r w:rsidRPr="00D759A3">
        <w:rPr>
          <w:rFonts w:ascii="Times New Roman" w:eastAsia="Times New Roman" w:hAnsi="Times New Roman" w:cs="Times New Roman"/>
          <w:sz w:val="24"/>
          <w:szCs w:val="24"/>
        </w:rPr>
        <w:t xml:space="preserve"> de la Ciudad de Buenos Aires sobre ruidos molestos;</w:t>
      </w:r>
    </w:p>
    <w:p w:rsidR="00D759A3" w:rsidRPr="00D759A3" w:rsidRDefault="00D759A3" w:rsidP="00D759A3">
      <w:pPr>
        <w:pStyle w:val="normal0"/>
        <w:numPr>
          <w:ilvl w:val="0"/>
          <w:numId w:val="9"/>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el ejercicio de la actividad por persona distinta de las autorizadas (titular y suplente);</w:t>
      </w:r>
    </w:p>
    <w:p w:rsidR="00D759A3" w:rsidRPr="00D759A3" w:rsidRDefault="00D759A3" w:rsidP="00D759A3">
      <w:pPr>
        <w:pStyle w:val="normal0"/>
        <w:numPr>
          <w:ilvl w:val="0"/>
          <w:numId w:val="9"/>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condena firme por violencia de género o abuso sexual;</w:t>
      </w:r>
    </w:p>
    <w:p w:rsidR="00D759A3" w:rsidRPr="00D759A3" w:rsidRDefault="00D759A3" w:rsidP="00D759A3">
      <w:pPr>
        <w:pStyle w:val="normal0"/>
        <w:numPr>
          <w:ilvl w:val="0"/>
          <w:numId w:val="9"/>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inicio de otra actividad comercial o trabajo en relación de dependencia sin la renuncia al permiso en cuestión. </w:t>
      </w:r>
    </w:p>
    <w:p w:rsidR="00D759A3" w:rsidRPr="00D759A3" w:rsidRDefault="00D759A3" w:rsidP="00D759A3">
      <w:pPr>
        <w:pStyle w:val="normal0"/>
        <w:numPr>
          <w:ilvl w:val="0"/>
          <w:numId w:val="9"/>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ausencia reiterada en el puesto de venta.</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 xml:space="preserve">Artículo 26°.- Acompañamiento y revisión de los permisos. </w:t>
      </w:r>
      <w:r w:rsidRPr="00D759A3">
        <w:rPr>
          <w:rFonts w:ascii="Times New Roman" w:eastAsia="Times New Roman" w:hAnsi="Times New Roman" w:cs="Times New Roman"/>
          <w:sz w:val="24"/>
          <w:szCs w:val="24"/>
        </w:rPr>
        <w:t xml:space="preserve">Durante el año de duración del permiso, la Autoridad de Aplicación podrá acreditar trimestralmente la continuidad y correcta realización de la actividad visitando los lugares de venta. Si durante las visitas de acompañamiento y revisión la Autoridad de Aplicación constata la persistencia de una o varias de las causas de revocación de permiso señaladas en el artículo 25° de la presente procederá a: </w:t>
      </w:r>
    </w:p>
    <w:p w:rsidR="00D759A3" w:rsidRPr="00D759A3" w:rsidRDefault="00D759A3" w:rsidP="00D759A3">
      <w:pPr>
        <w:pStyle w:val="normal0"/>
        <w:numPr>
          <w:ilvl w:val="0"/>
          <w:numId w:val="14"/>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Labrar una notificación sobre la/s causa/s identificada/s. La misma deberá ser notificada de manera presencial y por correo electrónico y domicilio legal declarado por el/la permisionario/a. </w:t>
      </w:r>
    </w:p>
    <w:p w:rsidR="00D759A3" w:rsidRPr="00D759A3" w:rsidRDefault="00D759A3" w:rsidP="00D759A3">
      <w:pPr>
        <w:pStyle w:val="normal0"/>
        <w:numPr>
          <w:ilvl w:val="0"/>
          <w:numId w:val="14"/>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La Autoridad de Aplicación deberá visitar nuevamente al permisionario/a una vez más en el plazo de treinta (30) días corridos. </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En caso de que cumplido el procedimiento descrito en el párrafo anterior, se constata la persistencia de la causal, la Autoridad de Aplicación podrá revocar el permiso otorgado. Transcurrido un año desde la revocación del permiso por parte de la Autoridad de Aplicación, por cualquiera de las causales descritas en el Artículo que antecede, la interesada/o podrá volver a solicitarlo.</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 La presente ley se regirá por el Derecho Administrativo de la Ciudad de Buenos Aires.</w:t>
      </w: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27°.- Criterios de prioridad en la asignación de permisos.</w:t>
      </w:r>
      <w:r w:rsidRPr="00D759A3">
        <w:rPr>
          <w:rFonts w:ascii="Times New Roman" w:eastAsia="Times New Roman" w:hAnsi="Times New Roman" w:cs="Times New Roman"/>
          <w:sz w:val="24"/>
          <w:szCs w:val="24"/>
        </w:rPr>
        <w:t xml:space="preserve"> La Autoridad de Aplicación, en articulación con la Comisión de seguimiento creada en el artículo 6º de la presente, deberá definir, mediante la reglamentación que corresponda, el sistema de asignación de los permisos y puestos de venta contemplados en el artículo 17°, teniendo en cuenta los siguientes criterios:</w:t>
      </w:r>
    </w:p>
    <w:p w:rsidR="00D759A3" w:rsidRPr="00D759A3" w:rsidRDefault="00D759A3" w:rsidP="00D759A3">
      <w:pPr>
        <w:pStyle w:val="normal0"/>
        <w:numPr>
          <w:ilvl w:val="0"/>
          <w:numId w:val="13"/>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antigüedad comprobable en el ejercicio de la actividad de venta en el espacio público, en este caso, se tendrá en cuenta a las personas registradas en el REVEP y en registros anteriores con los que cuente el GCBA;</w:t>
      </w:r>
    </w:p>
    <w:p w:rsidR="00D759A3" w:rsidRPr="00D759A3" w:rsidRDefault="00D759A3" w:rsidP="00D759A3">
      <w:pPr>
        <w:pStyle w:val="normal0"/>
        <w:numPr>
          <w:ilvl w:val="0"/>
          <w:numId w:val="13"/>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lastRenderedPageBreak/>
        <w:t>antigüedad en la ubicación solicitada o zonas aledañas con características similares;</w:t>
      </w:r>
    </w:p>
    <w:p w:rsidR="00D759A3" w:rsidRPr="00D759A3" w:rsidRDefault="00D759A3" w:rsidP="00D759A3">
      <w:pPr>
        <w:pStyle w:val="normal0"/>
        <w:numPr>
          <w:ilvl w:val="0"/>
          <w:numId w:val="13"/>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personas que están atravesando situaciones de violencia de género, que presenten una denuncia o un informe social de un dispositivo de atención oficial de violencias local o nacional al momento de solicitar el permiso; </w:t>
      </w:r>
    </w:p>
    <w:p w:rsidR="00D759A3" w:rsidRPr="00D759A3" w:rsidRDefault="00D759A3" w:rsidP="00D759A3">
      <w:pPr>
        <w:pStyle w:val="normal0"/>
        <w:numPr>
          <w:ilvl w:val="0"/>
          <w:numId w:val="13"/>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personas con discapacidad, que presenten el Certificado Único de Discapacidad al momento de solicitar el permiso; </w:t>
      </w:r>
    </w:p>
    <w:p w:rsidR="00D759A3" w:rsidRPr="00D759A3" w:rsidRDefault="00D759A3" w:rsidP="00D759A3">
      <w:pPr>
        <w:pStyle w:val="normal0"/>
        <w:numPr>
          <w:ilvl w:val="0"/>
          <w:numId w:val="13"/>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personas que se encuentren realizando un tratamiento por consumo problemático de sustancias, que presenten un informe social de un dispositivo de atención local o nacional al momento de solicitar el permiso. </w:t>
      </w:r>
    </w:p>
    <w:p w:rsidR="00D759A3" w:rsidRPr="00D759A3" w:rsidRDefault="00D759A3" w:rsidP="00D759A3">
      <w:pPr>
        <w:pStyle w:val="normal0"/>
        <w:numPr>
          <w:ilvl w:val="0"/>
          <w:numId w:val="13"/>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las personas travestis, </w:t>
      </w:r>
      <w:proofErr w:type="spellStart"/>
      <w:r w:rsidRPr="00D759A3">
        <w:rPr>
          <w:rFonts w:ascii="Times New Roman" w:eastAsia="Times New Roman" w:hAnsi="Times New Roman" w:cs="Times New Roman"/>
          <w:sz w:val="24"/>
          <w:szCs w:val="24"/>
        </w:rPr>
        <w:t>trans</w:t>
      </w:r>
      <w:proofErr w:type="spellEnd"/>
      <w:r w:rsidRPr="00D759A3">
        <w:rPr>
          <w:rFonts w:ascii="Times New Roman" w:eastAsia="Times New Roman" w:hAnsi="Times New Roman" w:cs="Times New Roman"/>
          <w:sz w:val="24"/>
          <w:szCs w:val="24"/>
        </w:rPr>
        <w:t xml:space="preserve"> e identidades no binarias habilitadas a trabajar en los términos que establece la legislación laboral, hayan o no accedido al cambio registral previsto en el artículo 3º de la ley 26.743 de identidad de género.</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p>
    <w:p w:rsidR="00D759A3" w:rsidRPr="00D759A3" w:rsidRDefault="00D759A3" w:rsidP="00D759A3">
      <w:pPr>
        <w:pStyle w:val="Ttulo"/>
        <w:spacing w:line="360" w:lineRule="auto"/>
        <w:ind w:left="3540" w:firstLine="708"/>
        <w:jc w:val="both"/>
        <w:rPr>
          <w:rFonts w:ascii="Times New Roman" w:eastAsia="Times New Roman" w:hAnsi="Times New Roman" w:cs="Times New Roman"/>
          <w:b/>
          <w:sz w:val="24"/>
          <w:szCs w:val="24"/>
        </w:rPr>
      </w:pPr>
      <w:bookmarkStart w:id="29" w:name="_dyvupjw4bf7e" w:colFirst="0" w:colLast="0"/>
      <w:bookmarkEnd w:id="29"/>
      <w:r w:rsidRPr="00D759A3">
        <w:rPr>
          <w:rFonts w:ascii="Times New Roman" w:eastAsia="Times New Roman" w:hAnsi="Times New Roman" w:cs="Times New Roman"/>
          <w:b/>
          <w:sz w:val="24"/>
          <w:szCs w:val="24"/>
        </w:rPr>
        <w:t>Título V</w:t>
      </w:r>
    </w:p>
    <w:p w:rsidR="00D759A3" w:rsidRPr="00D759A3" w:rsidRDefault="00D759A3" w:rsidP="00D759A3">
      <w:pPr>
        <w:pStyle w:val="Ttulo"/>
        <w:spacing w:line="360" w:lineRule="auto"/>
        <w:ind w:left="2123"/>
        <w:jc w:val="both"/>
        <w:rPr>
          <w:rFonts w:ascii="Times New Roman" w:eastAsia="Times New Roman" w:hAnsi="Times New Roman" w:cs="Times New Roman"/>
          <w:b/>
          <w:sz w:val="24"/>
          <w:szCs w:val="24"/>
        </w:rPr>
      </w:pPr>
      <w:bookmarkStart w:id="30" w:name="_m43mhc33xnb5" w:colFirst="0" w:colLast="0"/>
      <w:bookmarkEnd w:id="30"/>
      <w:r w:rsidRPr="00D759A3">
        <w:rPr>
          <w:rFonts w:ascii="Times New Roman" w:eastAsia="Times New Roman" w:hAnsi="Times New Roman" w:cs="Times New Roman"/>
          <w:b/>
          <w:sz w:val="24"/>
          <w:szCs w:val="24"/>
        </w:rPr>
        <w:t>De las responsabilidades de las/os permisionarias/os</w:t>
      </w:r>
    </w:p>
    <w:p w:rsidR="00D759A3" w:rsidRPr="00D759A3" w:rsidRDefault="00D759A3" w:rsidP="00D759A3">
      <w:pPr>
        <w:pStyle w:val="normal0"/>
        <w:spacing w:line="360" w:lineRule="auto"/>
        <w:ind w:firstLine="709"/>
        <w:jc w:val="both"/>
        <w:rPr>
          <w:rFonts w:ascii="Times New Roman" w:eastAsia="Times New Roman" w:hAnsi="Times New Roman" w:cs="Times New Roman"/>
          <w:b/>
          <w:sz w:val="24"/>
          <w:szCs w:val="24"/>
        </w:rPr>
      </w:pPr>
      <w:bookmarkStart w:id="31" w:name="_dgeug154966h" w:colFirst="0" w:colLast="0"/>
      <w:bookmarkEnd w:id="31"/>
    </w:p>
    <w:p w:rsidR="00D759A3" w:rsidRPr="00D759A3" w:rsidRDefault="00D759A3" w:rsidP="00D759A3">
      <w:pPr>
        <w:pStyle w:val="normal0"/>
        <w:spacing w:line="360" w:lineRule="auto"/>
        <w:ind w:firstLine="720"/>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Artículo 28º. - Responsabilidades de las/os permisionarias/os.</w:t>
      </w:r>
      <w:r w:rsidRPr="00D759A3">
        <w:rPr>
          <w:rFonts w:ascii="Times New Roman" w:eastAsia="Times New Roman" w:hAnsi="Times New Roman" w:cs="Times New Roman"/>
          <w:sz w:val="24"/>
          <w:szCs w:val="24"/>
        </w:rPr>
        <w:t xml:space="preserve"> El permisionario deberá cumplir con las siguientes responsabilidades:</w:t>
      </w:r>
    </w:p>
    <w:p w:rsidR="00D759A3" w:rsidRPr="00D759A3" w:rsidRDefault="00D759A3" w:rsidP="00D759A3">
      <w:pPr>
        <w:pStyle w:val="normal0"/>
        <w:numPr>
          <w:ilvl w:val="0"/>
          <w:numId w:val="11"/>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Ejercer personalmente la actividad para la cual ha sido autorizado.</w:t>
      </w:r>
    </w:p>
    <w:p w:rsidR="00D759A3" w:rsidRPr="00D759A3" w:rsidRDefault="00D759A3" w:rsidP="00D759A3">
      <w:pPr>
        <w:pStyle w:val="normal0"/>
        <w:numPr>
          <w:ilvl w:val="0"/>
          <w:numId w:val="11"/>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Respetar los lugares asignados, así como los días y horarios establecidos.</w:t>
      </w:r>
    </w:p>
    <w:p w:rsidR="00D759A3" w:rsidRPr="00D759A3" w:rsidRDefault="00D759A3" w:rsidP="00D759A3">
      <w:pPr>
        <w:pStyle w:val="normal0"/>
        <w:numPr>
          <w:ilvl w:val="0"/>
          <w:numId w:val="11"/>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Permitir la fiscalización y el control de los funcionarios del Gobierno de la Ciudad facultados para esa tarea.</w:t>
      </w:r>
    </w:p>
    <w:p w:rsidR="00D759A3" w:rsidRPr="00D759A3" w:rsidRDefault="00D759A3" w:rsidP="00D759A3">
      <w:pPr>
        <w:pStyle w:val="normal0"/>
        <w:numPr>
          <w:ilvl w:val="0"/>
          <w:numId w:val="11"/>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Acreditar la existencia del permiso según lo dispuesto en el artículo 24° de la presente. </w:t>
      </w:r>
    </w:p>
    <w:p w:rsidR="00D759A3" w:rsidRPr="00D759A3" w:rsidRDefault="00D759A3" w:rsidP="00D759A3">
      <w:pPr>
        <w:pStyle w:val="normal0"/>
        <w:numPr>
          <w:ilvl w:val="0"/>
          <w:numId w:val="11"/>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Mantener en condiciones de higiene y limpieza el puesto y su entorno, así como proceder a la limpieza del mismo una vez concluida la jornada.</w:t>
      </w:r>
    </w:p>
    <w:p w:rsidR="00D759A3" w:rsidRPr="00D759A3" w:rsidRDefault="00D759A3" w:rsidP="00D759A3">
      <w:pPr>
        <w:pStyle w:val="normal0"/>
        <w:numPr>
          <w:ilvl w:val="0"/>
          <w:numId w:val="11"/>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Acreditar la procedencia y/u origen de los productos en venta cuando así lo exigieren los funcionarios fiscalizadores.</w:t>
      </w:r>
    </w:p>
    <w:p w:rsidR="00D759A3" w:rsidRPr="00D759A3" w:rsidRDefault="00D759A3" w:rsidP="00D759A3">
      <w:pPr>
        <w:pStyle w:val="normal0"/>
        <w:numPr>
          <w:ilvl w:val="0"/>
          <w:numId w:val="11"/>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Mantener en condiciones el puesto fijo o desmontable que le ha sido asignado, haciéndose cargo del mantenimiento y los arreglos de aquellos daños que le sean imputables. </w:t>
      </w:r>
    </w:p>
    <w:p w:rsidR="00D759A3" w:rsidRPr="00D759A3" w:rsidRDefault="00D759A3" w:rsidP="00D759A3">
      <w:pPr>
        <w:pStyle w:val="normal0"/>
        <w:numPr>
          <w:ilvl w:val="0"/>
          <w:numId w:val="11"/>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Dar aviso a la Autoridad de Aplicación sobre aquellos daños estructurales que requieran su intervención.</w:t>
      </w:r>
    </w:p>
    <w:p w:rsidR="00D759A3" w:rsidRPr="00D759A3" w:rsidRDefault="00D759A3" w:rsidP="00D759A3">
      <w:pPr>
        <w:pStyle w:val="normal0"/>
        <w:numPr>
          <w:ilvl w:val="0"/>
          <w:numId w:val="11"/>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lastRenderedPageBreak/>
        <w:t>Asumir la responsabilidad civil por cualquier hecho, circunstancia o sucesos que se produzcan como consecuencia del ejercicio de su actividad, de los que resultaren daños o se lesionaren derechos de terceros.</w:t>
      </w:r>
    </w:p>
    <w:p w:rsidR="00D759A3" w:rsidRPr="00D759A3" w:rsidRDefault="00D759A3" w:rsidP="00D759A3">
      <w:pPr>
        <w:pStyle w:val="normal0"/>
        <w:numPr>
          <w:ilvl w:val="0"/>
          <w:numId w:val="11"/>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Pagar el canon correspondiente por el ejercicio de la actividad.</w:t>
      </w:r>
    </w:p>
    <w:p w:rsidR="00D759A3" w:rsidRPr="00D759A3" w:rsidRDefault="00D759A3" w:rsidP="00D759A3">
      <w:pPr>
        <w:pStyle w:val="normal0"/>
        <w:numPr>
          <w:ilvl w:val="0"/>
          <w:numId w:val="11"/>
        </w:numPr>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 xml:space="preserve">Inscribirse como contribuyente de los impuestos, tasas y contribuciones que graven la actividad, y aportar al Régimen de Trabajadores Autónomos o </w:t>
      </w:r>
      <w:proofErr w:type="spellStart"/>
      <w:r w:rsidRPr="00D759A3">
        <w:rPr>
          <w:rFonts w:ascii="Times New Roman" w:eastAsia="Times New Roman" w:hAnsi="Times New Roman" w:cs="Times New Roman"/>
          <w:sz w:val="24"/>
          <w:szCs w:val="24"/>
        </w:rPr>
        <w:t>Monotributo</w:t>
      </w:r>
      <w:proofErr w:type="spellEnd"/>
      <w:r w:rsidRPr="00D759A3">
        <w:rPr>
          <w:rFonts w:ascii="Times New Roman" w:eastAsia="Times New Roman" w:hAnsi="Times New Roman" w:cs="Times New Roman"/>
          <w:sz w:val="24"/>
          <w:szCs w:val="24"/>
        </w:rPr>
        <w:t>.</w:t>
      </w:r>
    </w:p>
    <w:p w:rsidR="00D759A3" w:rsidRPr="00D759A3" w:rsidRDefault="00D759A3" w:rsidP="00D759A3">
      <w:pPr>
        <w:pStyle w:val="normal0"/>
        <w:spacing w:line="360" w:lineRule="auto"/>
        <w:jc w:val="both"/>
        <w:rPr>
          <w:rFonts w:ascii="Times New Roman" w:eastAsia="Times New Roman" w:hAnsi="Times New Roman" w:cs="Times New Roman"/>
          <w:b/>
          <w:sz w:val="24"/>
          <w:szCs w:val="24"/>
        </w:rPr>
      </w:pPr>
    </w:p>
    <w:p w:rsidR="00D759A3" w:rsidRPr="00D759A3" w:rsidRDefault="00D759A3" w:rsidP="00D759A3">
      <w:pPr>
        <w:pStyle w:val="normal0"/>
        <w:spacing w:line="360" w:lineRule="auto"/>
        <w:jc w:val="both"/>
        <w:rPr>
          <w:rFonts w:ascii="Times New Roman" w:eastAsia="Times New Roman" w:hAnsi="Times New Roman" w:cs="Times New Roman"/>
          <w:b/>
          <w:sz w:val="24"/>
          <w:szCs w:val="24"/>
        </w:rPr>
      </w:pPr>
    </w:p>
    <w:p w:rsidR="00D759A3" w:rsidRPr="00D759A3" w:rsidRDefault="00D759A3" w:rsidP="00D759A3">
      <w:pPr>
        <w:pStyle w:val="normal0"/>
        <w:spacing w:line="360" w:lineRule="auto"/>
        <w:ind w:left="3540" w:firstLine="708"/>
        <w:jc w:val="both"/>
        <w:rPr>
          <w:rFonts w:ascii="Times New Roman" w:eastAsia="Times New Roman" w:hAnsi="Times New Roman" w:cs="Times New Roman"/>
          <w:b/>
          <w:sz w:val="24"/>
          <w:szCs w:val="24"/>
        </w:rPr>
      </w:pPr>
      <w:r w:rsidRPr="00D759A3">
        <w:rPr>
          <w:rFonts w:ascii="Times New Roman" w:eastAsia="Times New Roman" w:hAnsi="Times New Roman" w:cs="Times New Roman"/>
          <w:b/>
          <w:sz w:val="24"/>
          <w:szCs w:val="24"/>
        </w:rPr>
        <w:t>Título VI</w:t>
      </w:r>
    </w:p>
    <w:p w:rsidR="00D759A3" w:rsidRPr="00D759A3" w:rsidRDefault="00D759A3" w:rsidP="00D759A3">
      <w:pPr>
        <w:pStyle w:val="normal0"/>
        <w:spacing w:line="360" w:lineRule="auto"/>
        <w:ind w:left="3540"/>
        <w:jc w:val="both"/>
        <w:rPr>
          <w:rFonts w:ascii="Times New Roman" w:eastAsia="Times New Roman" w:hAnsi="Times New Roman" w:cs="Times New Roman"/>
          <w:b/>
          <w:sz w:val="24"/>
          <w:szCs w:val="24"/>
        </w:rPr>
      </w:pPr>
      <w:r w:rsidRPr="00D759A3">
        <w:rPr>
          <w:rFonts w:ascii="Times New Roman" w:eastAsia="Times New Roman" w:hAnsi="Times New Roman" w:cs="Times New Roman"/>
          <w:b/>
          <w:sz w:val="24"/>
          <w:szCs w:val="24"/>
        </w:rPr>
        <w:t>Disposiciones finales</w:t>
      </w:r>
    </w:p>
    <w:p w:rsidR="00D759A3" w:rsidRPr="00D759A3" w:rsidRDefault="00D759A3" w:rsidP="00D759A3">
      <w:pPr>
        <w:pStyle w:val="normal0"/>
        <w:spacing w:line="360" w:lineRule="auto"/>
        <w:jc w:val="both"/>
        <w:rPr>
          <w:rFonts w:ascii="Times New Roman" w:eastAsia="Times New Roman" w:hAnsi="Times New Roman" w:cs="Times New Roman"/>
          <w:b/>
          <w:sz w:val="24"/>
          <w:szCs w:val="24"/>
        </w:rPr>
      </w:pPr>
    </w:p>
    <w:p w:rsidR="00D759A3" w:rsidRPr="00D759A3" w:rsidRDefault="00D759A3" w:rsidP="00D759A3">
      <w:pPr>
        <w:pStyle w:val="normal0"/>
        <w:spacing w:line="360" w:lineRule="auto"/>
        <w:ind w:firstLine="708"/>
        <w:jc w:val="both"/>
        <w:rPr>
          <w:rFonts w:ascii="Times New Roman" w:eastAsia="Times New Roman" w:hAnsi="Times New Roman" w:cs="Times New Roman"/>
          <w:sz w:val="24"/>
          <w:szCs w:val="24"/>
        </w:rPr>
      </w:pPr>
      <w:r w:rsidRPr="00D759A3">
        <w:rPr>
          <w:rFonts w:ascii="Times New Roman" w:eastAsia="Times New Roman" w:hAnsi="Times New Roman" w:cs="Times New Roman"/>
          <w:b/>
          <w:sz w:val="24"/>
          <w:szCs w:val="24"/>
        </w:rPr>
        <w:t xml:space="preserve">Artículo 29º. - Incorporación al  Código de Habilitaciones y Verificaciones. </w:t>
      </w:r>
      <w:r w:rsidRPr="00D759A3">
        <w:rPr>
          <w:rFonts w:ascii="Times New Roman" w:eastAsia="Times New Roman" w:hAnsi="Times New Roman" w:cs="Times New Roman"/>
          <w:sz w:val="24"/>
          <w:szCs w:val="24"/>
        </w:rPr>
        <w:t>Incorpórese</w:t>
      </w:r>
      <w:r w:rsidRPr="00D759A3">
        <w:rPr>
          <w:rFonts w:ascii="Times New Roman" w:eastAsia="Times New Roman" w:hAnsi="Times New Roman" w:cs="Times New Roman"/>
          <w:b/>
          <w:sz w:val="24"/>
          <w:szCs w:val="24"/>
        </w:rPr>
        <w:t xml:space="preserve"> </w:t>
      </w:r>
      <w:r w:rsidRPr="00D759A3">
        <w:rPr>
          <w:rFonts w:ascii="Times New Roman" w:eastAsia="Times New Roman" w:hAnsi="Times New Roman" w:cs="Times New Roman"/>
          <w:sz w:val="24"/>
          <w:szCs w:val="24"/>
        </w:rPr>
        <w:t xml:space="preserve">dentro de las observaciones generales del Código de Habilitaciones y Verificaciones (ANEXO B ORDENANZA I - N° 34.421), el punto número 24 mediante el cual quedará estipulado que las disposiciones de la presente ley, deberán aplicarse e interpretarse de forma complementaria a las normas del código de mención.  </w:t>
      </w:r>
    </w:p>
    <w:p w:rsidR="00D759A3" w:rsidRPr="00D759A3" w:rsidRDefault="00D759A3" w:rsidP="00D759A3">
      <w:pPr>
        <w:pStyle w:val="normal0"/>
        <w:spacing w:line="360" w:lineRule="auto"/>
        <w:jc w:val="both"/>
        <w:rPr>
          <w:rFonts w:ascii="Times New Roman" w:eastAsia="Times New Roman" w:hAnsi="Times New Roman" w:cs="Times New Roman"/>
          <w:b/>
          <w:sz w:val="24"/>
          <w:szCs w:val="24"/>
        </w:rPr>
      </w:pPr>
      <w:bookmarkStart w:id="32" w:name="_tbzj4h1uhg33" w:colFirst="0" w:colLast="0"/>
      <w:bookmarkEnd w:id="32"/>
      <w:r w:rsidRPr="00D759A3">
        <w:rPr>
          <w:rFonts w:ascii="Times New Roman" w:hAnsi="Times New Roman" w:cs="Times New Roman"/>
          <w:sz w:val="24"/>
          <w:szCs w:val="24"/>
        </w:rPr>
        <w:br w:type="page"/>
      </w:r>
    </w:p>
    <w:p w:rsidR="00D759A3" w:rsidRPr="00D759A3" w:rsidRDefault="00D759A3" w:rsidP="00D759A3">
      <w:pPr>
        <w:pStyle w:val="normal0"/>
        <w:spacing w:line="360" w:lineRule="auto"/>
        <w:ind w:left="2832" w:firstLine="708"/>
        <w:jc w:val="both"/>
        <w:rPr>
          <w:rFonts w:ascii="Times New Roman" w:eastAsia="Times New Roman" w:hAnsi="Times New Roman" w:cs="Times New Roman"/>
          <w:b/>
          <w:sz w:val="24"/>
          <w:szCs w:val="24"/>
        </w:rPr>
      </w:pPr>
      <w:bookmarkStart w:id="33" w:name="_igyvr0y1kcox" w:colFirst="0" w:colLast="0"/>
      <w:bookmarkEnd w:id="33"/>
      <w:r w:rsidRPr="00D759A3">
        <w:rPr>
          <w:rFonts w:ascii="Times New Roman" w:eastAsia="Times New Roman" w:hAnsi="Times New Roman" w:cs="Times New Roman"/>
          <w:b/>
          <w:sz w:val="24"/>
          <w:szCs w:val="24"/>
        </w:rPr>
        <w:lastRenderedPageBreak/>
        <w:t>FUNDAMENTOS</w:t>
      </w:r>
    </w:p>
    <w:p w:rsidR="00D759A3" w:rsidRPr="00D759A3" w:rsidRDefault="00D759A3" w:rsidP="00D759A3">
      <w:pPr>
        <w:pStyle w:val="normal0"/>
        <w:spacing w:line="360" w:lineRule="auto"/>
        <w:jc w:val="both"/>
        <w:rPr>
          <w:rFonts w:ascii="Times New Roman" w:eastAsia="Times New Roman" w:hAnsi="Times New Roman" w:cs="Times New Roman"/>
          <w:b/>
          <w:sz w:val="24"/>
          <w:szCs w:val="24"/>
        </w:rPr>
      </w:pPr>
      <w:bookmarkStart w:id="34" w:name="_ahmqw8gs0eaw" w:colFirst="0" w:colLast="0"/>
      <w:bookmarkEnd w:id="34"/>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r w:rsidRPr="00D759A3">
        <w:rPr>
          <w:rFonts w:ascii="Times New Roman" w:eastAsia="Times New Roman" w:hAnsi="Times New Roman" w:cs="Times New Roman"/>
          <w:sz w:val="24"/>
          <w:szCs w:val="24"/>
        </w:rPr>
        <w:t>Sr. Presidente:</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bookmarkStart w:id="35" w:name="_qia46ejlmicd" w:colFirst="0" w:colLast="0"/>
      <w:bookmarkEnd w:id="35"/>
    </w:p>
    <w:p w:rsidR="00D759A3" w:rsidRPr="00D759A3" w:rsidRDefault="00D759A3" w:rsidP="00D759A3">
      <w:pPr>
        <w:pStyle w:val="normal0"/>
        <w:spacing w:line="360" w:lineRule="auto"/>
        <w:ind w:firstLine="708"/>
        <w:jc w:val="both"/>
        <w:rPr>
          <w:rFonts w:ascii="Times New Roman" w:eastAsia="Times New Roman" w:hAnsi="Times New Roman" w:cs="Times New Roman"/>
          <w:sz w:val="24"/>
          <w:szCs w:val="24"/>
        </w:rPr>
      </w:pPr>
      <w:bookmarkStart w:id="36" w:name="_4my7kiqqinrm" w:colFirst="0" w:colLast="0"/>
      <w:bookmarkEnd w:id="36"/>
      <w:r w:rsidRPr="00D759A3">
        <w:rPr>
          <w:rFonts w:ascii="Times New Roman" w:eastAsia="Times New Roman" w:hAnsi="Times New Roman" w:cs="Times New Roman"/>
          <w:sz w:val="24"/>
          <w:szCs w:val="24"/>
        </w:rPr>
        <w:t xml:space="preserve">La economía popular, y dentro de ella, la modalidad de venta en el espacio público constituye una fuente de empleo estable para un número significativo de personas en la Ciudad de Buenos Aires. Esta actividad representa un medio de subsistencia vital para </w:t>
      </w:r>
      <w:proofErr w:type="spellStart"/>
      <w:r w:rsidRPr="00D759A3">
        <w:rPr>
          <w:rFonts w:ascii="Times New Roman" w:eastAsia="Times New Roman" w:hAnsi="Times New Roman" w:cs="Times New Roman"/>
          <w:sz w:val="24"/>
          <w:szCs w:val="24"/>
        </w:rPr>
        <w:t>quiénes</w:t>
      </w:r>
      <w:proofErr w:type="spellEnd"/>
      <w:r w:rsidRPr="00D759A3">
        <w:rPr>
          <w:rFonts w:ascii="Times New Roman" w:eastAsia="Times New Roman" w:hAnsi="Times New Roman" w:cs="Times New Roman"/>
          <w:sz w:val="24"/>
          <w:szCs w:val="24"/>
        </w:rPr>
        <w:t xml:space="preserve"> la ejercen, pero a la vez, las/os expone a ciertos riesgos asociados al ambiente de trabajo, pero también, al estigma y violencia institucional que se ejerce sobre las/os trabajadores del espacio público. Esta implica intimidaciones, amenazas, corridas y hostigamiento. Otro modalidad muy habitual es la quita de la mercadería por parte de la policía, lo cual genera consecuencias directas para quienes dependen de las ventas diarias para subsistir y para quienes ese capital invertido en mercadería es central y muy difícil de reponer. El caso más extremo de la violencia institucional es el de Beatriz </w:t>
      </w:r>
      <w:proofErr w:type="spellStart"/>
      <w:r w:rsidRPr="00D759A3">
        <w:rPr>
          <w:rFonts w:ascii="Times New Roman" w:eastAsia="Times New Roman" w:hAnsi="Times New Roman" w:cs="Times New Roman"/>
          <w:sz w:val="24"/>
          <w:szCs w:val="24"/>
        </w:rPr>
        <w:t>Mechato</w:t>
      </w:r>
      <w:proofErr w:type="spellEnd"/>
      <w:r w:rsidRPr="00D759A3">
        <w:rPr>
          <w:rFonts w:ascii="Times New Roman" w:eastAsia="Times New Roman" w:hAnsi="Times New Roman" w:cs="Times New Roman"/>
          <w:sz w:val="24"/>
          <w:szCs w:val="24"/>
        </w:rPr>
        <w:t xml:space="preserve"> Flores, quién a sus 74 años falleció tratando de resguardarse de la persecución de los inspectores de espacio público y la policía el 17 de marzo del año 2020. </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bookmarkStart w:id="37" w:name="_a7i5cezmfqf" w:colFirst="0" w:colLast="0"/>
      <w:bookmarkEnd w:id="37"/>
      <w:r w:rsidRPr="00D759A3">
        <w:rPr>
          <w:rFonts w:ascii="Times New Roman" w:eastAsia="Times New Roman" w:hAnsi="Times New Roman" w:cs="Times New Roman"/>
          <w:sz w:val="24"/>
          <w:szCs w:val="24"/>
        </w:rPr>
        <w:t xml:space="preserve"> </w:t>
      </w:r>
    </w:p>
    <w:p w:rsidR="00D759A3" w:rsidRPr="00D759A3" w:rsidRDefault="00D759A3" w:rsidP="00D759A3">
      <w:pPr>
        <w:pStyle w:val="normal0"/>
        <w:spacing w:line="360" w:lineRule="auto"/>
        <w:ind w:firstLine="708"/>
        <w:jc w:val="both"/>
        <w:rPr>
          <w:rFonts w:ascii="Times New Roman" w:eastAsia="Times New Roman" w:hAnsi="Times New Roman" w:cs="Times New Roman"/>
          <w:sz w:val="24"/>
          <w:szCs w:val="24"/>
        </w:rPr>
      </w:pPr>
      <w:bookmarkStart w:id="38" w:name="_d74ak2fm7rl5" w:colFirst="0" w:colLast="0"/>
      <w:bookmarkEnd w:id="38"/>
      <w:r w:rsidRPr="00D759A3">
        <w:rPr>
          <w:rFonts w:ascii="Times New Roman" w:eastAsia="Times New Roman" w:hAnsi="Times New Roman" w:cs="Times New Roman"/>
          <w:sz w:val="24"/>
          <w:szCs w:val="24"/>
        </w:rPr>
        <w:t xml:space="preserve">La ambigüedad del marco normativo existente y la amplia discrecionalidad que se otorga a las fuerzas de seguridad para ejercer el control de la actividad es la principal razón que propicia la violencia. Es por ello que resulta fundamental establecer un marco normativo adecuado al contexto actual, basado en los principios del derecho al trabajo, el interés colectivo, el respeto a la identidad cultural, la igualdad de género, la autogestión y la solidaridad. Garantizando la articulación entre el derecho al trabajo digno y la adecuada gestión del espacio público. </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bookmarkStart w:id="39" w:name="_nlii75p8ddv2" w:colFirst="0" w:colLast="0"/>
      <w:bookmarkEnd w:id="39"/>
    </w:p>
    <w:p w:rsidR="00D759A3" w:rsidRPr="00D759A3" w:rsidRDefault="00D759A3" w:rsidP="00D759A3">
      <w:pPr>
        <w:pStyle w:val="normal0"/>
        <w:spacing w:line="360" w:lineRule="auto"/>
        <w:ind w:firstLine="708"/>
        <w:jc w:val="both"/>
        <w:rPr>
          <w:rFonts w:ascii="Times New Roman" w:eastAsia="Times New Roman" w:hAnsi="Times New Roman" w:cs="Times New Roman"/>
          <w:sz w:val="24"/>
          <w:szCs w:val="24"/>
        </w:rPr>
      </w:pPr>
      <w:bookmarkStart w:id="40" w:name="_rn75804s2eyu" w:colFirst="0" w:colLast="0"/>
      <w:bookmarkEnd w:id="40"/>
      <w:r w:rsidRPr="00D759A3">
        <w:rPr>
          <w:rFonts w:ascii="Times New Roman" w:eastAsia="Times New Roman" w:hAnsi="Times New Roman" w:cs="Times New Roman"/>
          <w:sz w:val="24"/>
          <w:szCs w:val="24"/>
        </w:rPr>
        <w:t xml:space="preserve">La presente propuesta pretende registrar y regular el ejercicio del comercio en el espacio público de la Ciudad de Buenos Aires, promoviendo el relevamiento de las/os trabajadoras/es, la planificación y definición de los espacios públicos habilitados para la venta, la conformación de una instancia de trabajo colaborativo entre trabajadoras/es, organizaciones y gobierno local, el diseño e instalación de puestos de trabajo fijos y desmontables según defina la autoridad de aplicación, la creación de un sistema de canon locativo y de permisos para el ejercicio de la labor. También establece un régimen de control que asegure el respeto del espacio público sin perjudicar los derechos humanos de las/os trabajadores. </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bookmarkStart w:id="41" w:name="_gdm02hvo74ft" w:colFirst="0" w:colLast="0"/>
      <w:bookmarkEnd w:id="41"/>
    </w:p>
    <w:p w:rsidR="00D759A3" w:rsidRPr="00D759A3" w:rsidRDefault="00D759A3" w:rsidP="00D759A3">
      <w:pPr>
        <w:pStyle w:val="normal0"/>
        <w:spacing w:line="360" w:lineRule="auto"/>
        <w:ind w:firstLine="708"/>
        <w:jc w:val="both"/>
        <w:rPr>
          <w:rFonts w:ascii="Times New Roman" w:eastAsia="Times New Roman" w:hAnsi="Times New Roman" w:cs="Times New Roman"/>
          <w:sz w:val="24"/>
          <w:szCs w:val="24"/>
        </w:rPr>
      </w:pPr>
      <w:bookmarkStart w:id="42" w:name="_8zunpi5rtqi" w:colFirst="0" w:colLast="0"/>
      <w:bookmarkEnd w:id="42"/>
      <w:r w:rsidRPr="00D759A3">
        <w:rPr>
          <w:rFonts w:ascii="Times New Roman" w:eastAsia="Times New Roman" w:hAnsi="Times New Roman" w:cs="Times New Roman"/>
          <w:sz w:val="24"/>
          <w:szCs w:val="24"/>
        </w:rPr>
        <w:lastRenderedPageBreak/>
        <w:t>Según el Registro Nacional de Trabajadores y Trabajadoras de la Economía Popular (</w:t>
      </w:r>
      <w:proofErr w:type="spellStart"/>
      <w:r w:rsidRPr="00D759A3">
        <w:rPr>
          <w:rFonts w:ascii="Times New Roman" w:eastAsia="Times New Roman" w:hAnsi="Times New Roman" w:cs="Times New Roman"/>
          <w:sz w:val="24"/>
          <w:szCs w:val="24"/>
        </w:rPr>
        <w:t>ReNaTEP</w:t>
      </w:r>
      <w:proofErr w:type="spellEnd"/>
      <w:r w:rsidRPr="00D759A3">
        <w:rPr>
          <w:rFonts w:ascii="Times New Roman" w:eastAsia="Times New Roman" w:hAnsi="Times New Roman" w:cs="Times New Roman"/>
          <w:sz w:val="24"/>
          <w:szCs w:val="24"/>
        </w:rPr>
        <w:t xml:space="preserve">) del Ministerio de Desarrollo Social de Nación, la rama de actividad “Comercio popular y trabajos en espacios públicos” es la tercera en relación con la cantidad de trabajadores registrados por dicha herramienta a mayo del año 2022, representando un 11,8% del total. En relación a la distribución por género, según el </w:t>
      </w:r>
      <w:proofErr w:type="spellStart"/>
      <w:r w:rsidRPr="00D759A3">
        <w:rPr>
          <w:rFonts w:ascii="Times New Roman" w:eastAsia="Times New Roman" w:hAnsi="Times New Roman" w:cs="Times New Roman"/>
          <w:sz w:val="24"/>
          <w:szCs w:val="24"/>
        </w:rPr>
        <w:t>ReNaTEP</w:t>
      </w:r>
      <w:proofErr w:type="spellEnd"/>
      <w:r w:rsidRPr="00D759A3">
        <w:rPr>
          <w:rFonts w:ascii="Times New Roman" w:eastAsia="Times New Roman" w:hAnsi="Times New Roman" w:cs="Times New Roman"/>
          <w:sz w:val="24"/>
          <w:szCs w:val="24"/>
        </w:rPr>
        <w:t xml:space="preserve"> el 57,2% de quienes se registraron como vendedores ambulantes son mujeres. También el 72,5% de feriantes y el 73,1% de quienes realizan venta directa son mujeres. Respecto del lugar en el que residen estas trabajadoras, el relevamiento realizado muestra que viven en su mayoría en la Ciudad de Buenos Aires (el 85%), es decir, viven donde trabajan. Las principales Comunas de la Ciudad en las que se ubican son la Comuna 3 (con el 43%, incluye los barrios de Balvanera y San Cristóbal), seguida por la 4 (con el 11%, incluye los barrios de la Boca, Barracas, Parque Patricios y Nueva Pompeya) y la 1 (con el 11%, barrios de Retiro, San Nicolás, San Telmo, Montserrat y Constitución). Esta localización se explica en mayor medida por la cercanía a los puntos en los que se lleva a cabo la actividad de venta, lo cual reduce los costos y tiempos de movilidad y transporte, el hecho de ser esas Comunas puntos neurálgicos de transporte interurbano (estaciones de Retiro, Constitución y Plaza Miserere/Once), la mayor concentración de hoteles familiares, inquilinatos y otras modalidades residenciales que son características de la rama.</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bookmarkStart w:id="43" w:name="_5olunp8ebsgn" w:colFirst="0" w:colLast="0"/>
      <w:bookmarkEnd w:id="43"/>
    </w:p>
    <w:p w:rsidR="00D759A3" w:rsidRPr="00D759A3" w:rsidRDefault="00D759A3" w:rsidP="00D759A3">
      <w:pPr>
        <w:pStyle w:val="normal0"/>
        <w:spacing w:line="360" w:lineRule="auto"/>
        <w:ind w:firstLine="708"/>
        <w:jc w:val="both"/>
        <w:rPr>
          <w:rFonts w:ascii="Times New Roman" w:eastAsia="Times New Roman" w:hAnsi="Times New Roman" w:cs="Times New Roman"/>
          <w:sz w:val="24"/>
          <w:szCs w:val="24"/>
        </w:rPr>
      </w:pPr>
      <w:bookmarkStart w:id="44" w:name="_yaqvxaokxjhg" w:colFirst="0" w:colLast="0"/>
      <w:bookmarkEnd w:id="44"/>
      <w:r w:rsidRPr="00D759A3">
        <w:rPr>
          <w:rFonts w:ascii="Times New Roman" w:eastAsia="Times New Roman" w:hAnsi="Times New Roman" w:cs="Times New Roman"/>
          <w:sz w:val="24"/>
          <w:szCs w:val="24"/>
        </w:rPr>
        <w:t xml:space="preserve">Existe una gran cantidad de personas que ejercen el comercio en el espacio público en la Ciudad de Buenos Aires. La persecución y la violencia institucional no son la solución, por el contrario sólo agravan la precaria situación económica y social de quienes dependen de sus ventas para subsistir, al mismo tiempo que generan más desorden en el espacio público. La regulación de la actividad, con un marco normativo claro que establezca derechos y obligaciones para esta población, es una necesidad urgente. </w:t>
      </w:r>
    </w:p>
    <w:p w:rsidR="00D759A3" w:rsidRPr="00D759A3" w:rsidRDefault="00D759A3" w:rsidP="00D759A3">
      <w:pPr>
        <w:pStyle w:val="normal0"/>
        <w:spacing w:line="360" w:lineRule="auto"/>
        <w:jc w:val="both"/>
        <w:rPr>
          <w:rFonts w:ascii="Times New Roman" w:eastAsia="Times New Roman" w:hAnsi="Times New Roman" w:cs="Times New Roman"/>
          <w:sz w:val="24"/>
          <w:szCs w:val="24"/>
        </w:rPr>
      </w:pPr>
      <w:bookmarkStart w:id="45" w:name="_hh2k1fejpjl9" w:colFirst="0" w:colLast="0"/>
      <w:bookmarkEnd w:id="45"/>
    </w:p>
    <w:p w:rsidR="00D759A3" w:rsidRPr="00D759A3" w:rsidRDefault="00D759A3" w:rsidP="00D759A3">
      <w:pPr>
        <w:pStyle w:val="normal0"/>
        <w:spacing w:line="360" w:lineRule="auto"/>
        <w:ind w:firstLine="708"/>
        <w:jc w:val="both"/>
        <w:rPr>
          <w:rFonts w:ascii="Times New Roman" w:eastAsia="Times New Roman" w:hAnsi="Times New Roman" w:cs="Times New Roman"/>
          <w:sz w:val="24"/>
          <w:szCs w:val="24"/>
        </w:rPr>
      </w:pPr>
      <w:bookmarkStart w:id="46" w:name="_jo9v3nvw5lxn" w:colFirst="0" w:colLast="0"/>
      <w:bookmarkEnd w:id="46"/>
      <w:r w:rsidRPr="00D759A3">
        <w:rPr>
          <w:rFonts w:ascii="Times New Roman" w:eastAsia="Times New Roman" w:hAnsi="Times New Roman" w:cs="Times New Roman"/>
          <w:sz w:val="24"/>
          <w:szCs w:val="24"/>
        </w:rPr>
        <w:t xml:space="preserve">Por todo lo expuesto, solicito a mis pares el acompañamiento del presente proyecto de ley. </w:t>
      </w:r>
    </w:p>
    <w:p w:rsidR="00D759A3" w:rsidRPr="00D759A3" w:rsidRDefault="00D759A3" w:rsidP="00D759A3">
      <w:pPr>
        <w:pStyle w:val="normal0"/>
        <w:spacing w:line="360" w:lineRule="auto"/>
        <w:ind w:firstLine="720"/>
        <w:jc w:val="both"/>
        <w:rPr>
          <w:rFonts w:ascii="Times New Roman" w:eastAsia="Times New Roman" w:hAnsi="Times New Roman" w:cs="Times New Roman"/>
          <w:b/>
          <w:sz w:val="24"/>
          <w:szCs w:val="24"/>
        </w:rPr>
      </w:pPr>
    </w:p>
    <w:p w:rsidR="00133C9B" w:rsidRPr="00D759A3" w:rsidRDefault="00133C9B" w:rsidP="00D759A3">
      <w:pPr>
        <w:spacing w:line="360" w:lineRule="auto"/>
        <w:jc w:val="both"/>
        <w:rPr>
          <w:rFonts w:ascii="Times New Roman" w:hAnsi="Times New Roman" w:cs="Times New Roman"/>
          <w:sz w:val="24"/>
          <w:szCs w:val="24"/>
        </w:rPr>
      </w:pPr>
    </w:p>
    <w:sectPr w:rsidR="00133C9B" w:rsidRPr="00D759A3" w:rsidSect="00CB349D">
      <w:headerReference w:type="default" r:id="rId7"/>
      <w:footerReference w:type="default" r:id="rId8"/>
      <w:pgSz w:w="12240" w:h="20160" w:code="5"/>
      <w:pgMar w:top="1417" w:right="1701" w:bottom="1417" w:left="1701" w:header="737" w:footer="68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77AD" w:rsidRDefault="007577AD" w:rsidP="00133C9B">
      <w:pPr>
        <w:spacing w:line="240" w:lineRule="auto"/>
      </w:pPr>
      <w:r>
        <w:separator/>
      </w:r>
    </w:p>
  </w:endnote>
  <w:endnote w:type="continuationSeparator" w:id="0">
    <w:p w:rsidR="007577AD" w:rsidRDefault="007577AD" w:rsidP="00133C9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40" w:rsidRPr="001C19C4" w:rsidRDefault="000D2740" w:rsidP="000D2740">
    <w:pPr>
      <w:pStyle w:val="Piedepgina"/>
      <w:rPr>
        <w:color w:val="333333"/>
        <w:sz w:val="20"/>
      </w:rPr>
    </w:pPr>
    <w:bookmarkStart w:id="47" w:name="Proyecto"/>
    <w:bookmarkEnd w:id="47"/>
  </w:p>
  <w:p w:rsidR="000D2740" w:rsidRPr="001C19C4" w:rsidRDefault="000D2740" w:rsidP="000D2740">
    <w:pPr>
      <w:pStyle w:val="Piedepgina"/>
      <w:rPr>
        <w:color w:val="333333"/>
        <w:sz w:val="20"/>
      </w:rPr>
    </w:pPr>
    <w:r w:rsidRPr="001C19C4">
      <w:rPr>
        <w:color w:val="333333"/>
        <w:sz w:val="20"/>
      </w:rPr>
      <w:t xml:space="preserve">Último cambio: </w:t>
    </w:r>
    <w:r w:rsidR="00D759A3">
      <w:rPr>
        <w:color w:val="333333"/>
        <w:sz w:val="20"/>
        <w:lang w:val="es-AR"/>
      </w:rPr>
      <w:t>2/11/2023 12:28:15</w:t>
    </w:r>
    <w:r w:rsidRPr="001C19C4">
      <w:rPr>
        <w:color w:val="333333"/>
        <w:sz w:val="20"/>
      </w:rPr>
      <w:t xml:space="preserve">-  Cantidad de caracteres: </w:t>
    </w:r>
    <w:fldSimple w:instr=" NUMCHARS  \* MERGEFORMAT ">
      <w:r w:rsidR="00D759A3" w:rsidRPr="00D759A3">
        <w:rPr>
          <w:noProof/>
          <w:color w:val="333333"/>
          <w:sz w:val="20"/>
        </w:rPr>
        <w:t>24956</w:t>
      </w:r>
    </w:fldSimple>
    <w:r w:rsidRPr="001C19C4">
      <w:rPr>
        <w:color w:val="333333"/>
        <w:sz w:val="20"/>
      </w:rPr>
      <w:t xml:space="preserve"> - Cantidad de palabras: </w:t>
    </w:r>
    <w:fldSimple w:instr=" NUMWORDS  \* MERGEFORMAT ">
      <w:r w:rsidR="00D759A3" w:rsidRPr="00D759A3">
        <w:rPr>
          <w:noProof/>
          <w:color w:val="333333"/>
          <w:sz w:val="20"/>
        </w:rPr>
        <w:t>4658</w:t>
      </w:r>
    </w:fldSimple>
  </w:p>
  <w:p w:rsidR="000D2740" w:rsidRPr="001C19C4" w:rsidRDefault="000D2740" w:rsidP="000D2740">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03D8E" w:rsidRPr="001C19C4">
      <w:rPr>
        <w:rStyle w:val="Nmerodepgina"/>
        <w:color w:val="333333"/>
      </w:rPr>
      <w:fldChar w:fldCharType="begin"/>
    </w:r>
    <w:r w:rsidRPr="001C19C4">
      <w:rPr>
        <w:rStyle w:val="Nmerodepgina"/>
        <w:color w:val="333333"/>
      </w:rPr>
      <w:instrText xml:space="preserve"> PAGE </w:instrText>
    </w:r>
    <w:r w:rsidR="00F03D8E" w:rsidRPr="001C19C4">
      <w:rPr>
        <w:rStyle w:val="Nmerodepgina"/>
        <w:color w:val="333333"/>
      </w:rPr>
      <w:fldChar w:fldCharType="separate"/>
    </w:r>
    <w:r w:rsidR="00D759A3">
      <w:rPr>
        <w:rStyle w:val="Nmerodepgina"/>
        <w:noProof/>
        <w:color w:val="333333"/>
      </w:rPr>
      <w:t>1</w:t>
    </w:r>
    <w:r w:rsidR="00F03D8E" w:rsidRPr="001C19C4">
      <w:rPr>
        <w:rStyle w:val="Nmerodepgina"/>
        <w:color w:val="333333"/>
      </w:rPr>
      <w:fldChar w:fldCharType="end"/>
    </w:r>
    <w:r w:rsidRPr="001C19C4">
      <w:rPr>
        <w:rStyle w:val="Nmerodepgina"/>
        <w:color w:val="333333"/>
      </w:rPr>
      <w:t>/</w:t>
    </w:r>
    <w:fldSimple w:instr=" NUMPAGES  \* MERGEFORMAT ">
      <w:r w:rsidR="00D759A3" w:rsidRPr="00D759A3">
        <w:rPr>
          <w:rStyle w:val="Nmerodepgina"/>
          <w:noProof/>
          <w:color w:val="333333"/>
        </w:rPr>
        <w:t>15</w:t>
      </w:r>
    </w:fldSimple>
    <w:r w:rsidRPr="001C19C4">
      <w:rPr>
        <w:rStyle w:val="Nmerodepgina"/>
        <w:color w:val="333333"/>
      </w:rPr>
      <w:t xml:space="preserve"> </w:t>
    </w:r>
  </w:p>
  <w:p w:rsidR="000D2740" w:rsidRPr="001C19C4" w:rsidRDefault="000D2740" w:rsidP="000D2740">
    <w:pPr>
      <w:pStyle w:val="Piedepgina"/>
      <w:rPr>
        <w:color w:val="333333"/>
        <w:sz w:val="20"/>
      </w:rPr>
    </w:pPr>
  </w:p>
  <w:p w:rsidR="000D2740" w:rsidRDefault="000D274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77AD" w:rsidRDefault="007577AD" w:rsidP="00133C9B">
      <w:pPr>
        <w:spacing w:line="240" w:lineRule="auto"/>
      </w:pPr>
      <w:r>
        <w:separator/>
      </w:r>
    </w:p>
  </w:footnote>
  <w:footnote w:type="continuationSeparator" w:id="0">
    <w:p w:rsidR="007577AD" w:rsidRDefault="007577AD" w:rsidP="00133C9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9B" w:rsidRDefault="00611C30">
    <w:pPr>
      <w:pStyle w:val="Encabezado"/>
    </w:pPr>
    <w:r>
      <w:rPr>
        <w:noProof/>
        <w:lang w:val="es-ES"/>
      </w:rPr>
      <w:drawing>
        <wp:anchor distT="0" distB="0" distL="114300" distR="114300" simplePos="0" relativeHeight="251660288" behindDoc="1" locked="0" layoutInCell="1" allowOverlap="1">
          <wp:simplePos x="0" y="0"/>
          <wp:positionH relativeFrom="column">
            <wp:posOffset>1986915</wp:posOffset>
          </wp:positionH>
          <wp:positionV relativeFrom="paragraph">
            <wp:posOffset>-10160</wp:posOffset>
          </wp:positionV>
          <wp:extent cx="1673352" cy="1310640"/>
          <wp:effectExtent l="0" t="0" r="3175" b="3810"/>
          <wp:wrapTight wrapText="bothSides">
            <wp:wrapPolygon edited="0">
              <wp:start x="0" y="0"/>
              <wp:lineTo x="0" y="21349"/>
              <wp:lineTo x="21395" y="21349"/>
              <wp:lineTo x="21395" y="0"/>
              <wp:lineTo x="0"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3352" cy="1310640"/>
                  </a:xfrm>
                  <a:prstGeom prst="rect">
                    <a:avLst/>
                  </a:prstGeom>
                </pic:spPr>
              </pic:pic>
            </a:graphicData>
          </a:graphic>
        </wp:anchor>
      </w:drawing>
    </w: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4011E"/>
    <w:multiLevelType w:val="multilevel"/>
    <w:tmpl w:val="F146B41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13BA6CB7"/>
    <w:multiLevelType w:val="multilevel"/>
    <w:tmpl w:val="72521F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71C3CA2"/>
    <w:multiLevelType w:val="multilevel"/>
    <w:tmpl w:val="A49EEC6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1AA84B5F"/>
    <w:multiLevelType w:val="multilevel"/>
    <w:tmpl w:val="9D24146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E6659C4"/>
    <w:multiLevelType w:val="multilevel"/>
    <w:tmpl w:val="F91C382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22072019"/>
    <w:multiLevelType w:val="multilevel"/>
    <w:tmpl w:val="2294F93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273436A6"/>
    <w:multiLevelType w:val="multilevel"/>
    <w:tmpl w:val="97D686F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2CCD7BD2"/>
    <w:multiLevelType w:val="multilevel"/>
    <w:tmpl w:val="D0CA90E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3CBA7605"/>
    <w:multiLevelType w:val="multilevel"/>
    <w:tmpl w:val="E0D84BB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4F133EDF"/>
    <w:multiLevelType w:val="multilevel"/>
    <w:tmpl w:val="6AB62D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51CE19F8"/>
    <w:multiLevelType w:val="multilevel"/>
    <w:tmpl w:val="F07C5E5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nsid w:val="60DF0AB9"/>
    <w:multiLevelType w:val="multilevel"/>
    <w:tmpl w:val="2D2C65C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78786158"/>
    <w:multiLevelType w:val="multilevel"/>
    <w:tmpl w:val="6CC08B08"/>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nsid w:val="7C4F23B8"/>
    <w:multiLevelType w:val="multilevel"/>
    <w:tmpl w:val="21147D2A"/>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8"/>
  </w:num>
  <w:num w:numId="3">
    <w:abstractNumId w:val="11"/>
  </w:num>
  <w:num w:numId="4">
    <w:abstractNumId w:val="3"/>
  </w:num>
  <w:num w:numId="5">
    <w:abstractNumId w:val="9"/>
  </w:num>
  <w:num w:numId="6">
    <w:abstractNumId w:val="7"/>
  </w:num>
  <w:num w:numId="7">
    <w:abstractNumId w:val="6"/>
  </w:num>
  <w:num w:numId="8">
    <w:abstractNumId w:val="5"/>
  </w:num>
  <w:num w:numId="9">
    <w:abstractNumId w:val="13"/>
  </w:num>
  <w:num w:numId="10">
    <w:abstractNumId w:val="2"/>
  </w:num>
  <w:num w:numId="11">
    <w:abstractNumId w:val="12"/>
  </w:num>
  <w:num w:numId="12">
    <w:abstractNumId w:val="4"/>
  </w:num>
  <w:num w:numId="13">
    <w:abstractNumId w:val="0"/>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577AD"/>
    <w:rsid w:val="000225F1"/>
    <w:rsid w:val="000D2740"/>
    <w:rsid w:val="00133C9B"/>
    <w:rsid w:val="001B49C9"/>
    <w:rsid w:val="00286241"/>
    <w:rsid w:val="00503892"/>
    <w:rsid w:val="00611C30"/>
    <w:rsid w:val="00755866"/>
    <w:rsid w:val="007577AD"/>
    <w:rsid w:val="007C15B8"/>
    <w:rsid w:val="00B4554B"/>
    <w:rsid w:val="00CB349D"/>
    <w:rsid w:val="00D759A3"/>
    <w:rsid w:val="00D921B3"/>
    <w:rsid w:val="00DA7D6A"/>
    <w:rsid w:val="00EB02F1"/>
    <w:rsid w:val="00F03D8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9A3"/>
    <w:pPr>
      <w:spacing w:after="0" w:line="276" w:lineRule="auto"/>
    </w:pPr>
    <w:rPr>
      <w:rFonts w:ascii="Arial" w:eastAsia="Arial" w:hAnsi="Arial" w:cs="Arial"/>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3C9B"/>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133C9B"/>
  </w:style>
  <w:style w:type="paragraph" w:styleId="Piedepgina">
    <w:name w:val="footer"/>
    <w:basedOn w:val="Normal"/>
    <w:link w:val="PiedepginaCar"/>
    <w:unhideWhenUsed/>
    <w:rsid w:val="00133C9B"/>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133C9B"/>
  </w:style>
  <w:style w:type="character" w:styleId="Nmerodepgina">
    <w:name w:val="page number"/>
    <w:basedOn w:val="Fuentedeprrafopredeter"/>
    <w:rsid w:val="000D2740"/>
  </w:style>
  <w:style w:type="paragraph" w:customStyle="1" w:styleId="normal0">
    <w:name w:val="normal"/>
    <w:rsid w:val="00D759A3"/>
    <w:pPr>
      <w:spacing w:after="0" w:line="276" w:lineRule="auto"/>
    </w:pPr>
    <w:rPr>
      <w:rFonts w:ascii="Arial" w:eastAsia="Arial" w:hAnsi="Arial" w:cs="Arial"/>
      <w:lang w:eastAsia="es-ES"/>
    </w:rPr>
  </w:style>
  <w:style w:type="paragraph" w:styleId="Ttulo">
    <w:name w:val="Title"/>
    <w:basedOn w:val="normal0"/>
    <w:next w:val="normal0"/>
    <w:link w:val="TtuloCar"/>
    <w:rsid w:val="00D759A3"/>
    <w:pPr>
      <w:keepNext/>
      <w:keepLines/>
      <w:spacing w:after="60"/>
    </w:pPr>
    <w:rPr>
      <w:sz w:val="52"/>
      <w:szCs w:val="52"/>
    </w:rPr>
  </w:style>
  <w:style w:type="character" w:customStyle="1" w:styleId="TtuloCar">
    <w:name w:val="Título Car"/>
    <w:basedOn w:val="Fuentedeprrafopredeter"/>
    <w:link w:val="Ttulo"/>
    <w:rsid w:val="00D759A3"/>
    <w:rPr>
      <w:rFonts w:ascii="Arial" w:eastAsia="Arial" w:hAnsi="Arial" w:cs="Arial"/>
      <w:sz w:val="52"/>
      <w:szCs w:val="52"/>
      <w:lang w:eastAsia="es-E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palacin\Downloads\PLANTILLA%20LEGISLAR%20202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 2023</Template>
  <TotalTime>7</TotalTime>
  <Pages>15</Pages>
  <Words>4658</Words>
  <Characters>24956</Characters>
  <Application>Microsoft Office Word</Application>
  <DocSecurity>0</DocSecurity>
  <Lines>510</Lines>
  <Paragraphs>186</Paragraphs>
  <ScaleCrop>false</ScaleCrop>
  <HeadingPairs>
    <vt:vector size="2" baseType="variant">
      <vt:variant>
        <vt:lpstr>Título</vt:lpstr>
      </vt:variant>
      <vt:variant>
        <vt:i4>1</vt:i4>
      </vt:variant>
    </vt:vector>
  </HeadingPairs>
  <TitlesOfParts>
    <vt:vector size="1" baseType="lpstr">
      <vt:lpstr/>
    </vt:vector>
  </TitlesOfParts>
  <Company>evaluation</Company>
  <LinksUpToDate>false</LinksUpToDate>
  <CharactersWithSpaces>29500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capalacin</dc:creator>
  <cp:lastModifiedBy>capalacin</cp:lastModifiedBy>
  <cp:revision>1</cp:revision>
  <cp:lastPrinted>2023-02-07T20:52:00Z</cp:lastPrinted>
  <dcterms:created xsi:type="dcterms:W3CDTF">2023-11-02T15:27:00Z</dcterms:created>
  <dcterms:modified xsi:type="dcterms:W3CDTF">2023-11-02T15:34:00Z</dcterms:modified>
</cp:coreProperties>
</file>