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E4B" w:rsidRPr="00EB1CD4" w:rsidRDefault="00497E4B" w:rsidP="00EB1CD4">
      <w:pPr>
        <w:rPr>
          <w:lang w:val="es-MX"/>
        </w:rPr>
      </w:pPr>
    </w:p>
    <w:p w:rsidR="00497E4B" w:rsidRPr="00EB1CD4" w:rsidRDefault="00497E4B" w:rsidP="00EB1CD4">
      <w:pPr>
        <w:rPr>
          <w:lang w:val="es-MX"/>
        </w:rPr>
      </w:pPr>
    </w:p>
    <w:p w:rsidR="00497E4B" w:rsidRPr="00EB1CD4" w:rsidRDefault="00497E4B" w:rsidP="00EB1CD4">
      <w:pPr>
        <w:jc w:val="center"/>
        <w:rPr>
          <w:b/>
          <w:lang w:val="es-MX"/>
        </w:rPr>
      </w:pPr>
      <w:r w:rsidRPr="00EB1CD4">
        <w:rPr>
          <w:b/>
          <w:lang w:val="es-MX"/>
        </w:rPr>
        <w:t>EXPEDIENTE Nro. 855-J-2024</w:t>
      </w:r>
    </w:p>
    <w:p w:rsidR="00497E4B" w:rsidRPr="00EB1CD4" w:rsidRDefault="00497E4B" w:rsidP="00EB1CD4">
      <w:pPr>
        <w:rPr>
          <w:lang w:val="es-MX"/>
        </w:rPr>
      </w:pPr>
    </w:p>
    <w:p w:rsidR="00497E4B" w:rsidRPr="00EB1CD4" w:rsidRDefault="00497E4B" w:rsidP="00EB1CD4">
      <w:pPr>
        <w:rPr>
          <w:lang w:val="es-MX"/>
        </w:rPr>
      </w:pPr>
    </w:p>
    <w:p w:rsidR="00497E4B" w:rsidRPr="00EB1CD4" w:rsidRDefault="00497E4B" w:rsidP="00EB1CD4">
      <w:pPr>
        <w:rPr>
          <w:lang w:val="es-MX"/>
        </w:rPr>
      </w:pPr>
      <w:r w:rsidRPr="00EB1CD4">
        <w:rPr>
          <w:lang w:val="es-MX"/>
        </w:rPr>
        <w:t>Legislatura de la Ciudad Autónoma de Buenos Aires</w:t>
      </w:r>
    </w:p>
    <w:p w:rsidR="00497E4B" w:rsidRPr="00EB1CD4" w:rsidRDefault="00497E4B" w:rsidP="00EB1CD4">
      <w:pPr>
        <w:rPr>
          <w:b/>
          <w:lang w:val="es-MX"/>
        </w:rPr>
      </w:pPr>
    </w:p>
    <w:p w:rsidR="00497E4B" w:rsidRPr="00EB1CD4" w:rsidRDefault="00F10169" w:rsidP="00EB1CD4">
      <w:pPr>
        <w:rPr>
          <w:b/>
          <w:lang w:val="es-MX"/>
        </w:rPr>
      </w:pPr>
      <w:r w:rsidRPr="00EB1CD4">
        <w:rPr>
          <w:b/>
          <w:lang w:val="es-MX"/>
        </w:rPr>
        <w:t>VISTO:</w:t>
      </w:r>
    </w:p>
    <w:p w:rsidR="00F10169" w:rsidRPr="00EB1CD4" w:rsidRDefault="00F10169" w:rsidP="00EB1CD4">
      <w:pPr>
        <w:rPr>
          <w:lang w:val="es-MX"/>
        </w:rPr>
      </w:pPr>
    </w:p>
    <w:p w:rsidR="00F10169" w:rsidRPr="00EB1CD4" w:rsidRDefault="00F10169" w:rsidP="00EB1CD4">
      <w:pPr>
        <w:rPr>
          <w:lang w:val="es-MX"/>
        </w:rPr>
      </w:pPr>
      <w:r w:rsidRPr="00EB1CD4">
        <w:rPr>
          <w:lang w:val="es-MX"/>
        </w:rPr>
        <w:tab/>
        <w:t>El Expediente Nro. 855-J-2024, inici</w:t>
      </w:r>
      <w:r w:rsidR="003D20C5" w:rsidRPr="00EB1CD4">
        <w:rPr>
          <w:lang w:val="es-MX"/>
        </w:rPr>
        <w:t>a</w:t>
      </w:r>
      <w:r w:rsidRPr="00EB1CD4">
        <w:rPr>
          <w:lang w:val="es-MX"/>
        </w:rPr>
        <w:t xml:space="preserve">do por </w:t>
      </w:r>
      <w:r w:rsidR="003D20C5" w:rsidRPr="00EB1CD4">
        <w:rPr>
          <w:lang w:val="es-MX"/>
        </w:rPr>
        <w:t>e</w:t>
      </w:r>
      <w:r w:rsidRPr="00EB1CD4">
        <w:rPr>
          <w:lang w:val="es-MX"/>
        </w:rPr>
        <w:t xml:space="preserve">l señor Jefe de Gobierno, y remitido a esta Legislatura mediante el Mensaje Nro. 6/2024, en el cual solicitan modificar la Ley Nro. 6712 - Ampliación del Presupuesto 2024 y, </w:t>
      </w:r>
    </w:p>
    <w:p w:rsidR="00F10169" w:rsidRPr="00EB1CD4" w:rsidRDefault="00F10169" w:rsidP="00EB1CD4">
      <w:pPr>
        <w:rPr>
          <w:lang w:val="es-MX"/>
        </w:rPr>
      </w:pPr>
    </w:p>
    <w:p w:rsidR="00F10169" w:rsidRPr="00EB1CD4" w:rsidRDefault="00F10169" w:rsidP="00EB1CD4">
      <w:pPr>
        <w:rPr>
          <w:b/>
          <w:lang w:val="es-MX"/>
        </w:rPr>
      </w:pPr>
      <w:r w:rsidRPr="00EB1CD4">
        <w:rPr>
          <w:b/>
          <w:lang w:val="es-MX"/>
        </w:rPr>
        <w:t>CONSIDERANDO:</w:t>
      </w:r>
    </w:p>
    <w:p w:rsidR="00F10169" w:rsidRPr="00EB1CD4" w:rsidRDefault="00F10169" w:rsidP="00EB1CD4">
      <w:pPr>
        <w:rPr>
          <w:lang w:val="es-MX"/>
        </w:rPr>
      </w:pPr>
    </w:p>
    <w:p w:rsidR="00F10169" w:rsidRPr="00EB1CD4" w:rsidRDefault="00F10169" w:rsidP="00EB1CD4">
      <w:r w:rsidRPr="00EB1CD4">
        <w:rPr>
          <w:lang w:val="es-MX"/>
        </w:rPr>
        <w:tab/>
        <w:t xml:space="preserve">Que llega a esta Comisión para considerar </w:t>
      </w:r>
      <w:r w:rsidR="00497E4B" w:rsidRPr="00EB1CD4">
        <w:t xml:space="preserve">un Proyecto de Ley que propicia introducir modificaciones al Presupuesto General de la Administración Gubernamental del Gobierno de la Ciudad Autónoma de Buenos Aires correspondiente al año 2024, aprobado mediante la Ley Nº 6712, conforme el detalle que obra en las planillas que como Anexo se adjuntan al mentado proyecto. </w:t>
      </w:r>
    </w:p>
    <w:p w:rsidR="00F10169" w:rsidRPr="00EB1CD4" w:rsidRDefault="00F10169" w:rsidP="00EB1CD4"/>
    <w:p w:rsidR="00F10169" w:rsidRPr="00EB1CD4" w:rsidRDefault="00F10169" w:rsidP="00EB1CD4">
      <w:pPr>
        <w:ind w:firstLine="708"/>
      </w:pPr>
      <w:r w:rsidRPr="00EB1CD4">
        <w:t>Que l</w:t>
      </w:r>
      <w:r w:rsidR="00497E4B" w:rsidRPr="00EB1CD4">
        <w:t xml:space="preserve">as modificaciones crediticias que se promueven, por un total de $4.517.086.453.895.-, se encuentran comprendidas en los términos del artículo 63 de la Ley Nº 70 (texto consolidado por Ley N° 6588), de Sistemas de Gestión, Administración Financiera y Control </w:t>
      </w:r>
      <w:r w:rsidRPr="00EB1CD4">
        <w:t>del Sector Público de la Ciudad</w:t>
      </w:r>
      <w:r w:rsidR="00497E4B" w:rsidRPr="00EB1CD4">
        <w:t xml:space="preserve">. </w:t>
      </w:r>
    </w:p>
    <w:p w:rsidR="00F10169" w:rsidRPr="00EB1CD4" w:rsidRDefault="00F10169" w:rsidP="00EB1CD4">
      <w:pPr>
        <w:ind w:firstLine="708"/>
      </w:pPr>
    </w:p>
    <w:p w:rsidR="00F10169" w:rsidRPr="00EB1CD4" w:rsidRDefault="00F10169" w:rsidP="00EB1CD4">
      <w:pPr>
        <w:ind w:firstLine="708"/>
      </w:pPr>
      <w:r w:rsidRPr="00EB1CD4">
        <w:t>Que el proyecto de l</w:t>
      </w:r>
      <w:r w:rsidR="00497E4B" w:rsidRPr="00EB1CD4">
        <w:t xml:space="preserve">ey propone una ampliación global en la estimación de los recursos y los créditos presupuestarios aprobados, en virtud de la evolución y proyección de las principales variables macroeconómicas que, en conjunto, arrojan un aumento sustancial sobre la expectativa original incorporada en el presupuesto. </w:t>
      </w:r>
    </w:p>
    <w:p w:rsidR="00F10169" w:rsidRPr="00EB1CD4" w:rsidRDefault="00F10169" w:rsidP="00EB1CD4">
      <w:pPr>
        <w:ind w:firstLine="708"/>
      </w:pPr>
    </w:p>
    <w:p w:rsidR="00F10169" w:rsidRPr="00EB1CD4" w:rsidRDefault="00F10169" w:rsidP="00EB1CD4">
      <w:pPr>
        <w:ind w:firstLine="708"/>
      </w:pPr>
      <w:r w:rsidRPr="00EB1CD4">
        <w:t>Que e</w:t>
      </w:r>
      <w:r w:rsidR="00497E4B" w:rsidRPr="00EB1CD4">
        <w:t xml:space="preserve">n ese sentido, se propone ampliar en $ 1.867.147.316.344.- los créditos asociados al gasto en personal de la Ciudad. Esta mayor erogación tiene su origen en el impacto de la inflación anual estimada sobre los acuerdos paritarios. </w:t>
      </w:r>
    </w:p>
    <w:p w:rsidR="00F10169" w:rsidRPr="00EB1CD4" w:rsidRDefault="00F10169" w:rsidP="00EB1CD4">
      <w:pPr>
        <w:ind w:firstLine="708"/>
      </w:pPr>
    </w:p>
    <w:p w:rsidR="00BF7869" w:rsidRPr="00EB1CD4" w:rsidRDefault="00F10169" w:rsidP="00EB1CD4">
      <w:pPr>
        <w:ind w:firstLine="708"/>
      </w:pPr>
      <w:r w:rsidRPr="00EB1CD4">
        <w:t>Que p</w:t>
      </w:r>
      <w:r w:rsidR="00497E4B" w:rsidRPr="00EB1CD4">
        <w:t xml:space="preserve">or otra parte, en concepto de bienes de consumo, es necesario incorporar al presupuesto $ 207.517.674.245.- destinados, principalmente, a la adquisición de medicamentos y otros insumos para el sistema de Salud por $ 165.187.944.786.-, de productos lácteos destinados al Ministerio de Educación por $ 9.146.726.991.-, de uniformes para la Policía de la Ciudad por $ 5.553.168.449.- y de combustibles y lubricantes destinados al Ministerio de Seguridad por $ 5.664.382.066.- </w:t>
      </w:r>
    </w:p>
    <w:p w:rsidR="00BF7869" w:rsidRPr="00EB1CD4" w:rsidRDefault="00BF7869" w:rsidP="00EB1CD4">
      <w:pPr>
        <w:ind w:firstLine="708"/>
      </w:pPr>
    </w:p>
    <w:p w:rsidR="00CC072A" w:rsidRPr="00EB1CD4" w:rsidRDefault="00BF7869" w:rsidP="00EB1CD4">
      <w:pPr>
        <w:ind w:firstLine="708"/>
      </w:pPr>
      <w:r w:rsidRPr="00EB1CD4">
        <w:t>Que e</w:t>
      </w:r>
      <w:r w:rsidR="00497E4B" w:rsidRPr="00EB1CD4">
        <w:t xml:space="preserve">n cuanto a los servicios no personales, se propone incorporar $1.139.097.576.208.- originados, principalmente, en la prestación de los servicios de comida destinados a hospitales, escuelas, hogares, el Instituto de Seguridad Pública y la Policía de la Ciudad por $ 126.816.569.444.-; del mismo modo, se incluyen las erogaciones correspondientes a la limpieza de hospitales y escuelas por $ 24.430.946.399.-, otros servicios necesarios para la prestación de los servicios de salud de la Ciudad, la recolección de residuos por $ 303.719.869.285.-, los servicios de transporte del Ministerio de Educación por $ 18.974.728.836.-, la seguridad privada por $ 65.833.240.653.-, otras erogaciones relativas a la seguridad pública por $ 32.828.857.385.-, los gastos de los edificios centrales de gobierno por $ 44.346.984.044.-, los servicios básicos por $24.934.266.068.- y las locaciones de servicios de varios ministerios por $102.815.279.801.-. </w:t>
      </w:r>
    </w:p>
    <w:p w:rsidR="00CC072A" w:rsidRPr="00EB1CD4" w:rsidRDefault="00CC072A" w:rsidP="00EB1CD4">
      <w:pPr>
        <w:ind w:firstLine="708"/>
      </w:pPr>
    </w:p>
    <w:p w:rsidR="00CC072A" w:rsidRPr="00EB1CD4" w:rsidRDefault="00CC072A" w:rsidP="00EB1CD4">
      <w:pPr>
        <w:ind w:firstLine="708"/>
      </w:pPr>
      <w:r w:rsidRPr="00EB1CD4">
        <w:t>Que p</w:t>
      </w:r>
      <w:r w:rsidR="00497E4B" w:rsidRPr="00EB1CD4">
        <w:t xml:space="preserve">or el lado de los bienes de uso, se incluye la ampliación de las erogaciones por $ 457.430.244.690.- destinados a atender los requerimientos de inversión en obras y equipamiento de diversos ministerios. Entre las principales erogaciones que se refuerzan se </w:t>
      </w:r>
      <w:r w:rsidR="00497E4B" w:rsidRPr="00EB1CD4">
        <w:lastRenderedPageBreak/>
        <w:t xml:space="preserve">encuentran las destinadas a hospitales por $ 56.725.145.671.-, la puesta en valor de establecimientos educativos por $ 46.626.745.769.-, el equipamiento para la seguridad pública por $ 24.245.866.542.-, la puesta en valor del espacio público a través del alumbrado, la pavimentación, la demarcación y el señalamiento por $ 71.559.169.683.- y el plan hidráulico y la red pluvial por $ 43.140.469.675.-. Se destaca también en este rubro el incremento previsto para las erogaciones correspondientes a vivienda, principalmente en los barrios 20, Padre </w:t>
      </w:r>
      <w:proofErr w:type="spellStart"/>
      <w:r w:rsidR="00497E4B" w:rsidRPr="00EB1CD4">
        <w:t>Mugica</w:t>
      </w:r>
      <w:proofErr w:type="spellEnd"/>
      <w:r w:rsidR="00497E4B" w:rsidRPr="00EB1CD4">
        <w:t xml:space="preserve">, Rodrigo Bueno y </w:t>
      </w:r>
      <w:proofErr w:type="spellStart"/>
      <w:r w:rsidR="00497E4B" w:rsidRPr="00EB1CD4">
        <w:t>Orma</w:t>
      </w:r>
      <w:proofErr w:type="spellEnd"/>
      <w:r w:rsidR="00497E4B" w:rsidRPr="00EB1CD4">
        <w:t xml:space="preserve">, por $ 30.614.314.724.- y el relleno sanitario por $ 27.728.973.943.-. </w:t>
      </w:r>
    </w:p>
    <w:p w:rsidR="00CC072A" w:rsidRPr="00EB1CD4" w:rsidRDefault="00CC072A" w:rsidP="00EB1CD4">
      <w:pPr>
        <w:ind w:firstLine="708"/>
      </w:pPr>
    </w:p>
    <w:p w:rsidR="006758D1" w:rsidRPr="00EB1CD4" w:rsidRDefault="00CC072A" w:rsidP="00EB1CD4">
      <w:pPr>
        <w:ind w:firstLine="708"/>
      </w:pPr>
      <w:r w:rsidRPr="00EB1CD4">
        <w:t>Que p</w:t>
      </w:r>
      <w:r w:rsidR="00497E4B" w:rsidRPr="00EB1CD4">
        <w:t>or su parte, se contempla el acrecentam</w:t>
      </w:r>
      <w:r w:rsidR="003D20C5" w:rsidRPr="00EB1CD4">
        <w:t xml:space="preserve">iento de las transferencias por </w:t>
      </w:r>
      <w:r w:rsidR="00497E4B" w:rsidRPr="00EB1CD4">
        <w:t xml:space="preserve">$592.009.767.800.-. Estas mayores erogaciones corresponden, esencialmente, a la compensación tarifaria a los servicios de transporte subterráneo por $103.376.911.093.- y al transporte automotor de pasajeros del área urbana cuyo recorrido se desarrolla íntegramente en la Ciudad Autónoma de Buenos Aires por $ 21.714.629.763.-. En el Ministerio de Desarrollo Humano y Hábitat se contempla $ 92.011.152.505.- para la provisión de alimentos para programas sociales, $ 26.241.374.058.- para el subsidio Ciudadanía Porteña, $ 6.803.410.588.- para la asistencia habitacional y, por último, para otros subsidios sociales y a las instituciones de niñez y adolescencia se incorporan $ 23.582.543.797.-. Por otro lado, se incluye $ 113.823.626.354.- para el subsidio a la educación de gestión privada; asimismo, se incorporan los subsidios a los recuperadores urbanos por $ 17.387.741.327.-, el destinado al Hospital Prof. Dr. Juan P. </w:t>
      </w:r>
      <w:proofErr w:type="spellStart"/>
      <w:r w:rsidR="00497E4B" w:rsidRPr="00EB1CD4">
        <w:t>Garrahan</w:t>
      </w:r>
      <w:proofErr w:type="spellEnd"/>
      <w:r w:rsidR="00497E4B" w:rsidRPr="00EB1CD4">
        <w:t xml:space="preserve"> por $ 12.426.343.773.- y la transferencia correspondiente al Plan Sarmiento por $ 11.033.448.942.-. </w:t>
      </w:r>
    </w:p>
    <w:p w:rsidR="006758D1" w:rsidRPr="00EB1CD4" w:rsidRDefault="006758D1" w:rsidP="00EB1CD4">
      <w:pPr>
        <w:ind w:firstLine="708"/>
      </w:pPr>
    </w:p>
    <w:p w:rsidR="006758D1" w:rsidRPr="00EB1CD4" w:rsidRDefault="006758D1" w:rsidP="00EB1CD4">
      <w:pPr>
        <w:ind w:firstLine="708"/>
      </w:pPr>
      <w:r w:rsidRPr="00EB1CD4">
        <w:t>Que d</w:t>
      </w:r>
      <w:r w:rsidR="00497E4B" w:rsidRPr="00EB1CD4">
        <w:t xml:space="preserve">el mismo modo, se prevé el aumento de activos financieros por $29.709.653.835.-, siendo el principal concepto el correspondiente al aporte de capital a la sociedad del estado Coordinación Ecológica Área Metropolitana (CEAMSE) por $26.224.582.900.-. </w:t>
      </w:r>
    </w:p>
    <w:p w:rsidR="006758D1" w:rsidRPr="00EB1CD4" w:rsidRDefault="006758D1" w:rsidP="00EB1CD4">
      <w:pPr>
        <w:ind w:firstLine="708"/>
      </w:pPr>
    </w:p>
    <w:p w:rsidR="001842FA" w:rsidRPr="00EB1CD4" w:rsidRDefault="006758D1" w:rsidP="00EB1CD4">
      <w:pPr>
        <w:ind w:firstLine="708"/>
      </w:pPr>
      <w:r w:rsidRPr="00EB1CD4">
        <w:t>Que f</w:t>
      </w:r>
      <w:r w:rsidR="00497E4B" w:rsidRPr="00EB1CD4">
        <w:t xml:space="preserve">inalmente, es necesario incrementar los servicios de la deuda pública en $224.174.220.773.- en función del impacto del tipo de cambio proyectado para el resto del año. En ese sentido, se prevé mayores erogaciones en intereses por $ 167.789.815.913.- y en amortizaciones por $ 56.384.404.860.-. </w:t>
      </w:r>
    </w:p>
    <w:p w:rsidR="001842FA" w:rsidRPr="00EB1CD4" w:rsidRDefault="001842FA" w:rsidP="00EB1CD4">
      <w:pPr>
        <w:ind w:firstLine="708"/>
      </w:pPr>
    </w:p>
    <w:p w:rsidR="001842FA" w:rsidRPr="00EB1CD4" w:rsidRDefault="001842FA" w:rsidP="00EB1CD4">
      <w:pPr>
        <w:ind w:firstLine="708"/>
      </w:pPr>
      <w:r w:rsidRPr="00EB1CD4">
        <w:t>Que e</w:t>
      </w:r>
      <w:r w:rsidR="00497E4B" w:rsidRPr="00EB1CD4">
        <w:t xml:space="preserve">n consideración de lo anterior, con el fin de dar solución a los potenciales problemas crediticios que puedan suscitarse en el corto plazo, sin afectar la sustentabilidad de las cuentas públicas, se estima pertinente incorporar al Cálculo de Recursos, la suma de $ 4.517.086.453.895.-, provenientes de la estimación del incremento de la recaudación tributaria, no tributaria y de fuentes financieras. </w:t>
      </w:r>
    </w:p>
    <w:p w:rsidR="001842FA" w:rsidRPr="00EB1CD4" w:rsidRDefault="001842FA" w:rsidP="00EB1CD4">
      <w:pPr>
        <w:ind w:firstLine="708"/>
      </w:pPr>
    </w:p>
    <w:p w:rsidR="001842FA" w:rsidRPr="00EB1CD4" w:rsidRDefault="001842FA" w:rsidP="00EB1CD4">
      <w:pPr>
        <w:ind w:firstLine="708"/>
      </w:pPr>
      <w:r w:rsidRPr="00EB1CD4">
        <w:t>Que e</w:t>
      </w:r>
      <w:r w:rsidR="00497E4B" w:rsidRPr="00EB1CD4">
        <w:t xml:space="preserve">l monto mencionado contempla la ampliación de los recursos corrientes por $4.451.698.359.506 y de los recursos de capital por $ 1.174.841.808.-. </w:t>
      </w:r>
    </w:p>
    <w:p w:rsidR="001842FA" w:rsidRPr="00EB1CD4" w:rsidRDefault="001842FA" w:rsidP="00EB1CD4">
      <w:pPr>
        <w:ind w:firstLine="708"/>
      </w:pPr>
    </w:p>
    <w:p w:rsidR="001842FA" w:rsidRPr="00EB1CD4" w:rsidRDefault="001842FA" w:rsidP="00EB1CD4">
      <w:pPr>
        <w:ind w:firstLine="708"/>
      </w:pPr>
      <w:r w:rsidRPr="00EB1CD4">
        <w:t>Que p</w:t>
      </w:r>
      <w:r w:rsidR="00497E4B" w:rsidRPr="00EB1CD4">
        <w:t xml:space="preserve">or recursos tributarios se prevé $ 4.122.913.373.101.-, compuestos por $3.663.276.473.101.- de recaudación tributaria local y $ 459.636.900.000.- provenientes jurisdicción nacional a través de transferencias del régimen de coparticipación. </w:t>
      </w:r>
    </w:p>
    <w:p w:rsidR="001842FA" w:rsidRPr="00EB1CD4" w:rsidRDefault="001842FA" w:rsidP="00EB1CD4">
      <w:pPr>
        <w:ind w:firstLine="708"/>
      </w:pPr>
    </w:p>
    <w:p w:rsidR="002474C4" w:rsidRPr="00EB1CD4" w:rsidRDefault="001842FA" w:rsidP="00EB1CD4">
      <w:pPr>
        <w:ind w:firstLine="708"/>
      </w:pPr>
      <w:r w:rsidRPr="00EB1CD4">
        <w:t>Que l</w:t>
      </w:r>
      <w:r w:rsidR="00497E4B" w:rsidRPr="00EB1CD4">
        <w:t xml:space="preserve">os mayores ingresos que se proponen en concepto de recursos tributarios propios, incluyen el incremento por planes de facilidades de pago y se componen principalmente del siguiente modo: </w:t>
      </w:r>
    </w:p>
    <w:p w:rsidR="002474C4" w:rsidRPr="00EB1CD4" w:rsidRDefault="00497E4B" w:rsidP="00EB1CD4">
      <w:pPr>
        <w:ind w:firstLine="708"/>
      </w:pPr>
      <w:r w:rsidRPr="00EB1CD4">
        <w:t xml:space="preserve">• Impuesto sobre los ingresos brutos $ 3.295.326.020.479.- </w:t>
      </w:r>
    </w:p>
    <w:p w:rsidR="002474C4" w:rsidRPr="00EB1CD4" w:rsidRDefault="00497E4B" w:rsidP="00EB1CD4">
      <w:pPr>
        <w:ind w:firstLine="708"/>
      </w:pPr>
      <w:r w:rsidRPr="00EB1CD4">
        <w:t xml:space="preserve">• Inmuebles $ 144.101.745.993.- </w:t>
      </w:r>
    </w:p>
    <w:p w:rsidR="002474C4" w:rsidRPr="00EB1CD4" w:rsidRDefault="00497E4B" w:rsidP="00EB1CD4">
      <w:pPr>
        <w:ind w:firstLine="708"/>
      </w:pPr>
      <w:r w:rsidRPr="00EB1CD4">
        <w:t xml:space="preserve">• Vehículos $ 23.042.839.733.- </w:t>
      </w:r>
    </w:p>
    <w:p w:rsidR="002474C4" w:rsidRPr="00EB1CD4" w:rsidRDefault="00497E4B" w:rsidP="00EB1CD4">
      <w:pPr>
        <w:ind w:firstLine="708"/>
      </w:pPr>
      <w:r w:rsidRPr="00EB1CD4">
        <w:t xml:space="preserve">• Sellos $ 182.200.655.851.- </w:t>
      </w:r>
    </w:p>
    <w:p w:rsidR="002474C4" w:rsidRPr="00EB1CD4" w:rsidRDefault="002474C4" w:rsidP="00EB1CD4">
      <w:pPr>
        <w:ind w:firstLine="708"/>
      </w:pPr>
    </w:p>
    <w:p w:rsidR="002474C4" w:rsidRPr="00EB1CD4" w:rsidRDefault="002474C4" w:rsidP="00EB1CD4">
      <w:pPr>
        <w:ind w:firstLine="708"/>
      </w:pPr>
      <w:r w:rsidRPr="00EB1CD4">
        <w:t>Que d</w:t>
      </w:r>
      <w:r w:rsidR="00497E4B" w:rsidRPr="00EB1CD4">
        <w:t xml:space="preserve">e igual forma, en concepto de recursos no tributarios se prevé el incremento de $ 82.530.454.605.-, derivados de la mayor previsión de tasas por $ 26.493.779.278.- y multas por $ 40.015.018.269.-. </w:t>
      </w:r>
    </w:p>
    <w:p w:rsidR="00026382" w:rsidRPr="00EB1CD4" w:rsidRDefault="002474C4" w:rsidP="00EB1CD4">
      <w:pPr>
        <w:ind w:firstLine="708"/>
      </w:pPr>
      <w:r w:rsidRPr="00EB1CD4">
        <w:lastRenderedPageBreak/>
        <w:t>Que p</w:t>
      </w:r>
      <w:r w:rsidR="00497E4B" w:rsidRPr="00EB1CD4">
        <w:t xml:space="preserve">or venta de bienes y servicios se proyecta una recaudación extra de $44.878.684.688.-, principalmente provenientes del recobro de los servicios de salud prestados por efectores de la Ciudad por $ 25.548.394.208.-. </w:t>
      </w:r>
    </w:p>
    <w:p w:rsidR="00026382" w:rsidRPr="00EB1CD4" w:rsidRDefault="00026382" w:rsidP="00EB1CD4">
      <w:pPr>
        <w:ind w:firstLine="708"/>
      </w:pPr>
    </w:p>
    <w:p w:rsidR="00026382" w:rsidRPr="00EB1CD4" w:rsidRDefault="00026382" w:rsidP="00EB1CD4">
      <w:pPr>
        <w:ind w:firstLine="708"/>
      </w:pPr>
      <w:r w:rsidRPr="00EB1CD4">
        <w:t>Que e</w:t>
      </w:r>
      <w:r w:rsidR="00497E4B" w:rsidRPr="00EB1CD4">
        <w:t xml:space="preserve">n concepto de rentas de la propiedad se contempla sumar al Cálculo de Recursos $ 161.370.108.180.- provenientes del incremento en los intereses por colocaciones de excedentes transitorios de caja. </w:t>
      </w:r>
    </w:p>
    <w:p w:rsidR="00026382" w:rsidRPr="00EB1CD4" w:rsidRDefault="00026382" w:rsidP="00EB1CD4">
      <w:pPr>
        <w:ind w:firstLine="708"/>
      </w:pPr>
    </w:p>
    <w:p w:rsidR="009A11B8" w:rsidRPr="00EB1CD4" w:rsidRDefault="00026382" w:rsidP="00EB1CD4">
      <w:pPr>
        <w:ind w:firstLine="708"/>
      </w:pPr>
      <w:r w:rsidRPr="00EB1CD4">
        <w:t>Que p</w:t>
      </w:r>
      <w:r w:rsidR="00497E4B" w:rsidRPr="00EB1CD4">
        <w:t xml:space="preserve">or transferencias corrientes se contempla el incremento de $ 40.005.738.932.-, compuesto fundamentalmente por las transferencias de ingresos de juegos de azar provenientes de Lotería de la Ciudad Buenos Aires S.E. por $ 38.566.520.605.-. </w:t>
      </w:r>
    </w:p>
    <w:p w:rsidR="009A11B8" w:rsidRPr="00EB1CD4" w:rsidRDefault="009A11B8" w:rsidP="00EB1CD4">
      <w:pPr>
        <w:ind w:firstLine="708"/>
      </w:pPr>
    </w:p>
    <w:p w:rsidR="009A11B8" w:rsidRPr="00EB1CD4" w:rsidRDefault="009A11B8" w:rsidP="00EB1CD4">
      <w:pPr>
        <w:ind w:firstLine="708"/>
      </w:pPr>
      <w:r w:rsidRPr="00EB1CD4">
        <w:t>Que p</w:t>
      </w:r>
      <w:r w:rsidR="00497E4B" w:rsidRPr="00EB1CD4">
        <w:t xml:space="preserve">or su parte, los recursos de capital se incrementan en $ 1.174.841.808.-, provenientes de la mayor previsión de la contraprestación de convenios urbanísticos y el recupero de diversas operatorias de crédito. </w:t>
      </w:r>
    </w:p>
    <w:p w:rsidR="009A11B8" w:rsidRPr="00EB1CD4" w:rsidRDefault="009A11B8" w:rsidP="00EB1CD4">
      <w:pPr>
        <w:ind w:firstLine="708"/>
      </w:pPr>
    </w:p>
    <w:p w:rsidR="009A11B8" w:rsidRPr="00EB1CD4" w:rsidRDefault="009A11B8" w:rsidP="00EB1CD4">
      <w:pPr>
        <w:ind w:firstLine="708"/>
      </w:pPr>
      <w:r w:rsidRPr="00EB1CD4">
        <w:t>Que f</w:t>
      </w:r>
      <w:r w:rsidR="00497E4B" w:rsidRPr="00EB1CD4">
        <w:t xml:space="preserve">inalmente, por fuentes financieras se prevé la incorporación de $64.213.252.581.-, provenientes principalmente de la colocación de deuda interna a largo plazo por $ 50.524.961.580.-. </w:t>
      </w:r>
    </w:p>
    <w:p w:rsidR="009A11B8" w:rsidRPr="00EB1CD4" w:rsidRDefault="009A11B8" w:rsidP="00EB1CD4">
      <w:pPr>
        <w:ind w:firstLine="708"/>
      </w:pPr>
    </w:p>
    <w:p w:rsidR="00497E4B" w:rsidRPr="00EB1CD4" w:rsidRDefault="009A11B8" w:rsidP="00EB1CD4">
      <w:pPr>
        <w:ind w:firstLine="708"/>
      </w:pPr>
      <w:r w:rsidRPr="00EB1CD4">
        <w:t>Que a</w:t>
      </w:r>
      <w:r w:rsidR="00497E4B" w:rsidRPr="00EB1CD4">
        <w:t xml:space="preserve">simismo, en concordancia con el incremento presupuestario que se solicita, se propone ampliar los montos máximos autorizados por el artículo 12 de la Ley N° 6712 para emitir letras del tesoro en la suma de $ 222.000.000.000.- o su equivalente en otras monedas. </w:t>
      </w:r>
    </w:p>
    <w:p w:rsidR="00497E4B" w:rsidRPr="00EB1CD4" w:rsidRDefault="00497E4B" w:rsidP="00EB1CD4"/>
    <w:p w:rsidR="00D9216A" w:rsidRPr="00EB1CD4" w:rsidRDefault="009A11B8" w:rsidP="00EB1CD4">
      <w:r w:rsidRPr="00EB1CD4">
        <w:tab/>
        <w:t>Que se han hecho presentes en una reunión de Comisión el señor ministro de Hacienda y Finanzas y otros funcionarios del área a fin de informar sobre el proyecto en análisis.</w:t>
      </w:r>
    </w:p>
    <w:p w:rsidR="009A11B8" w:rsidRPr="00EB1CD4" w:rsidRDefault="009A11B8" w:rsidP="00EB1CD4"/>
    <w:p w:rsidR="009A11B8" w:rsidRPr="00EB1CD4" w:rsidRDefault="009A11B8" w:rsidP="00EB1CD4">
      <w:r w:rsidRPr="00EB1CD4">
        <w:tab/>
      </w:r>
      <w:r w:rsidR="00367A03" w:rsidRPr="00EB1CD4">
        <w:t>Por lo expuesto, esta Comisión de Presupuesto, Hacienda, Administración Financiera y Política Tributaria pone a consideración del Cuerpo la siguiente</w:t>
      </w:r>
    </w:p>
    <w:p w:rsidR="00D9216A" w:rsidRPr="00EB1CD4" w:rsidRDefault="00D9216A" w:rsidP="00EB1CD4"/>
    <w:p w:rsidR="003E13DE" w:rsidRPr="00EB1CD4" w:rsidRDefault="003E13DE" w:rsidP="00EB1CD4">
      <w:pPr>
        <w:jc w:val="center"/>
      </w:pPr>
    </w:p>
    <w:p w:rsidR="003E13DE" w:rsidRPr="00EB1CD4" w:rsidRDefault="003E13DE" w:rsidP="00EB1CD4">
      <w:pPr>
        <w:jc w:val="center"/>
      </w:pPr>
    </w:p>
    <w:p w:rsidR="00D9216A" w:rsidRPr="00EB1CD4" w:rsidRDefault="00D9216A" w:rsidP="00EB1CD4">
      <w:pPr>
        <w:jc w:val="center"/>
        <w:rPr>
          <w:b/>
        </w:rPr>
      </w:pPr>
      <w:r w:rsidRPr="00EB1CD4">
        <w:rPr>
          <w:b/>
        </w:rPr>
        <w:t>LEY</w:t>
      </w:r>
    </w:p>
    <w:p w:rsidR="00D9216A" w:rsidRPr="00EB1CD4" w:rsidRDefault="00D9216A" w:rsidP="00EB1CD4">
      <w:pPr>
        <w:jc w:val="center"/>
      </w:pPr>
    </w:p>
    <w:p w:rsidR="00630868" w:rsidRPr="00EB1CD4" w:rsidRDefault="00630868" w:rsidP="00EB1CD4">
      <w:r w:rsidRPr="00EB1CD4">
        <w:rPr>
          <w:b/>
        </w:rPr>
        <w:t>Artículo 1°.-</w:t>
      </w:r>
      <w:r w:rsidRPr="00EB1CD4">
        <w:t xml:space="preserve"> Modificar el Presupuesto General de la Administración Gubernamental del Gobierno de la Ciudad Autónoma de Buenos Aires para el Ejercicio 2024, aprobado por Ley N° 6712, de acuerdo a las planillas obrantes en el Anexo, el cual forma p</w:t>
      </w:r>
      <w:r w:rsidR="0018716D" w:rsidRPr="00EB1CD4">
        <w:t>arte integrante de la presente l</w:t>
      </w:r>
      <w:r w:rsidRPr="00EB1CD4">
        <w:t xml:space="preserve">ey. </w:t>
      </w:r>
    </w:p>
    <w:p w:rsidR="0018716D" w:rsidRPr="00EB1CD4" w:rsidRDefault="0018716D" w:rsidP="00EB1CD4"/>
    <w:p w:rsidR="00630868" w:rsidRPr="00EB1CD4" w:rsidRDefault="00630868" w:rsidP="00EB1CD4">
      <w:r w:rsidRPr="00EB1CD4">
        <w:rPr>
          <w:b/>
        </w:rPr>
        <w:t>Artículo 2°.-</w:t>
      </w:r>
      <w:r w:rsidRPr="00EB1CD4">
        <w:t xml:space="preserve"> El Poder Ejecutivo efectuará las readecuaciones crediticias que resulten necesarias a los fines de la implementación de la presente Ley, las que quedan excluidas de las limitaciones porcentuales establecidas por el artículo 22 de la Ley N° 6712. </w:t>
      </w:r>
    </w:p>
    <w:p w:rsidR="00630868" w:rsidRPr="00EB1CD4" w:rsidRDefault="00630868" w:rsidP="00EB1CD4"/>
    <w:p w:rsidR="006D1E5E" w:rsidRPr="00EB1CD4" w:rsidRDefault="00630868" w:rsidP="00EB1CD4">
      <w:r w:rsidRPr="00EB1CD4">
        <w:rPr>
          <w:b/>
        </w:rPr>
        <w:t>Artículo 3°.-</w:t>
      </w:r>
      <w:r w:rsidRPr="00EB1CD4">
        <w:t xml:space="preserve"> Ampliar los montos máximos autorizados por el artículo 12 de la Ley N°6712 en la suma de PESOS DOSCIENTOS VEINTIDÓS MIL MILLONES </w:t>
      </w:r>
      <w:r w:rsidR="00A666E1" w:rsidRPr="00EB1CD4">
        <w:br/>
      </w:r>
      <w:r w:rsidRPr="00EB1CD4">
        <w:t>($</w:t>
      </w:r>
      <w:r w:rsidR="00A666E1" w:rsidRPr="00EB1CD4">
        <w:t xml:space="preserve"> </w:t>
      </w:r>
      <w:r w:rsidRPr="00EB1CD4">
        <w:t>222.000.000.000.-</w:t>
      </w:r>
      <w:r w:rsidR="00A666E1" w:rsidRPr="00EB1CD4">
        <w:t>)</w:t>
      </w:r>
      <w:r w:rsidRPr="00EB1CD4">
        <w:t xml:space="preserve"> o su equivalente en dólares estadounidenses u otras monedas. </w:t>
      </w:r>
    </w:p>
    <w:p w:rsidR="006D1E5E" w:rsidRPr="00EB1CD4" w:rsidRDefault="006D1E5E" w:rsidP="00EB1CD4"/>
    <w:p w:rsidR="00D9216A" w:rsidRPr="00EB1CD4" w:rsidRDefault="00630868" w:rsidP="00EB1CD4">
      <w:r w:rsidRPr="00EB1CD4">
        <w:rPr>
          <w:b/>
        </w:rPr>
        <w:t>Artículo 4°.-</w:t>
      </w:r>
      <w:r w:rsidRPr="00EB1CD4">
        <w:t xml:space="preserve"> Comuníquese, etc.</w:t>
      </w:r>
    </w:p>
    <w:p w:rsidR="006D1E5E" w:rsidRPr="00EB1CD4" w:rsidRDefault="006D1E5E" w:rsidP="00EB1CD4"/>
    <w:p w:rsidR="003D20C5" w:rsidRPr="00EB1CD4" w:rsidRDefault="006D1E5E" w:rsidP="00EB1CD4">
      <w:r w:rsidRPr="00EB1CD4">
        <w:t xml:space="preserve">Sala de la Comisión, </w:t>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3D20C5" w:rsidRPr="00EB1CD4" w:rsidTr="00DF418E">
        <w:trPr>
          <w:trHeight w:val="1602"/>
        </w:trPr>
        <w:tc>
          <w:tcPr>
            <w:tcW w:w="4348" w:type="dxa"/>
            <w:tcBorders>
              <w:bottom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3D20C5" w:rsidRPr="00EB1CD4" w:rsidRDefault="003D20C5" w:rsidP="00EB1CD4">
            <w:pPr>
              <w:jc w:val="center"/>
              <w:rPr>
                <w:rFonts w:ascii="Times New Roman" w:hAnsi="Times New Roman" w:cs="Times New Roman"/>
                <w:sz w:val="24"/>
              </w:rPr>
            </w:pPr>
            <w:r w:rsidRPr="00EB1CD4">
              <w:rPr>
                <w:rFonts w:ascii="Times New Roman" w:hAnsi="Times New Roman" w:cs="Times New Roman"/>
                <w:sz w:val="24"/>
              </w:rPr>
              <w:t>PAOLA MICHIELOTTO</w:t>
            </w:r>
          </w:p>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PRESIDENTA</w:t>
            </w:r>
          </w:p>
        </w:tc>
      </w:tr>
      <w:tr w:rsidR="003D20C5" w:rsidRPr="00EB1CD4" w:rsidTr="00DF418E">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rPr>
                <w:rFonts w:ascii="Times New Roman" w:hAnsi="Times New Roman" w:cs="Times New Roman"/>
                <w:sz w:val="24"/>
                <w:szCs w:val="24"/>
              </w:rPr>
            </w:pPr>
            <w:r w:rsidRPr="00EB1CD4">
              <w:rPr>
                <w:rFonts w:ascii="Times New Roman" w:hAnsi="Times New Roman" w:cs="Times New Roman"/>
                <w:sz w:val="24"/>
                <w:szCs w:val="24"/>
              </w:rPr>
              <w:lastRenderedPageBreak/>
              <w:t xml:space="preserve">               CLAUDIA  NEIRA</w:t>
            </w:r>
          </w:p>
          <w:p w:rsidR="003D20C5" w:rsidRPr="00EB1CD4" w:rsidRDefault="003D20C5" w:rsidP="00EB1CD4">
            <w:pPr>
              <w:rPr>
                <w:rFonts w:ascii="Times New Roman" w:hAnsi="Times New Roman" w:cs="Times New Roman"/>
                <w:sz w:val="24"/>
                <w:lang w:val="es-MX"/>
              </w:rPr>
            </w:pPr>
            <w:r w:rsidRPr="00EB1CD4">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rPr>
            </w:pPr>
            <w:r w:rsidRPr="00EB1CD4">
              <w:rPr>
                <w:rFonts w:ascii="Times New Roman" w:hAnsi="Times New Roman" w:cs="Times New Roman"/>
                <w:sz w:val="24"/>
              </w:rPr>
              <w:t>LUCIO LAPEÑA</w:t>
            </w:r>
          </w:p>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Vicepresidente 2º</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MATÍAS BARROETAVEÑA</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szCs w:val="24"/>
                <w:lang w:val="es-MX"/>
              </w:rPr>
            </w:pPr>
            <w:r w:rsidRPr="00EB1CD4">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szCs w:val="24"/>
                <w:lang w:val="es-MX"/>
              </w:rPr>
            </w:pPr>
            <w:r w:rsidRPr="00EB1CD4">
              <w:rPr>
                <w:rFonts w:ascii="Times New Roman" w:hAnsi="Times New Roman" w:cs="Times New Roman"/>
                <w:sz w:val="24"/>
                <w:szCs w:val="24"/>
                <w:lang w:val="es-MX"/>
              </w:rPr>
              <w:t>FACUNDO DEL GAISO</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MARÍA LUISA GONZÁLEZ ESTEVARENA</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MATÍAS LOPEZ</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rPr>
            </w:pPr>
            <w:r w:rsidRPr="00EB1CD4">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rPr>
            </w:pPr>
            <w:r w:rsidRPr="00EB1CD4">
              <w:rPr>
                <w:rFonts w:ascii="Times New Roman" w:hAnsi="Times New Roman" w:cs="Times New Roman"/>
                <w:sz w:val="24"/>
              </w:rPr>
              <w:t>JUAN PABLO MODARELLI</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MARÍA FERNANDA MOLLARD</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rPr>
              <w:t>DARÍO NIETO</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lang w:val="es-MX"/>
              </w:rPr>
              <w:lastRenderedPageBreak/>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szCs w:val="24"/>
              </w:rPr>
              <w:t>SERGIO SICILIANO</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lang w:val="es-MX"/>
              </w:rPr>
            </w:pPr>
            <w:r w:rsidRPr="00EB1CD4">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szCs w:val="24"/>
              </w:rPr>
            </w:pPr>
            <w:r w:rsidRPr="00EB1CD4">
              <w:rPr>
                <w:rFonts w:ascii="Times New Roman" w:hAnsi="Times New Roman" w:cs="Times New Roman"/>
                <w:sz w:val="24"/>
                <w:szCs w:val="24"/>
              </w:rPr>
              <w:t>JUAN MANUEL VALDÉS</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szCs w:val="24"/>
              </w:rPr>
            </w:pPr>
            <w:r w:rsidRPr="00EB1CD4">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szCs w:val="24"/>
              </w:rPr>
            </w:pPr>
            <w:r w:rsidRPr="00EB1CD4">
              <w:rPr>
                <w:rFonts w:ascii="Times New Roman" w:hAnsi="Times New Roman" w:cs="Times New Roman"/>
                <w:sz w:val="24"/>
                <w:szCs w:val="24"/>
              </w:rPr>
              <w:t>FRANCO VITALI</w:t>
            </w:r>
          </w:p>
        </w:tc>
      </w:tr>
      <w:tr w:rsidR="003D20C5" w:rsidRPr="00EB1CD4" w:rsidTr="00DF418E">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3D20C5" w:rsidRPr="00EB1CD4" w:rsidRDefault="003D20C5" w:rsidP="00EB1CD4">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3D20C5" w:rsidRPr="00EB1CD4" w:rsidRDefault="003D20C5" w:rsidP="00EB1CD4">
            <w:pPr>
              <w:jc w:val="center"/>
              <w:rPr>
                <w:rFonts w:ascii="Times New Roman" w:hAnsi="Times New Roman" w:cs="Times New Roman"/>
                <w:sz w:val="24"/>
                <w:szCs w:val="24"/>
              </w:rPr>
            </w:pPr>
          </w:p>
        </w:tc>
      </w:tr>
    </w:tbl>
    <w:p w:rsidR="003D20C5" w:rsidRPr="00EB1CD4" w:rsidRDefault="003D20C5" w:rsidP="00EB1CD4"/>
    <w:p w:rsidR="00CE6E03" w:rsidRPr="00EB1CD4" w:rsidRDefault="00CE6E03" w:rsidP="00EB1CD4">
      <w:pPr>
        <w:jc w:val="left"/>
      </w:pPr>
    </w:p>
    <w:p w:rsidR="006D1E5E" w:rsidRPr="00EB1CD4" w:rsidRDefault="006D1E5E" w:rsidP="00EB1CD4"/>
    <w:p w:rsidR="003D20C5" w:rsidRPr="00EB1CD4" w:rsidRDefault="003D20C5" w:rsidP="00EB1CD4">
      <w:pPr>
        <w:jc w:val="left"/>
      </w:pPr>
    </w:p>
    <w:p w:rsidR="00CE6E03" w:rsidRPr="00EB1CD4" w:rsidRDefault="003D20C5" w:rsidP="00EB1CD4">
      <w:pPr>
        <w:jc w:val="center"/>
      </w:pPr>
      <w:r w:rsidRPr="00EB1CD4">
        <w:rPr>
          <w:b/>
        </w:rPr>
        <w:lastRenderedPageBreak/>
        <w:t>ANEXO</w:t>
      </w:r>
      <w:r w:rsidR="00CE6E03" w:rsidRPr="00EB1CD4">
        <w:rPr>
          <w:noProof/>
          <w:lang w:val="es-ES"/>
        </w:rPr>
        <w:drawing>
          <wp:inline distT="0" distB="0" distL="0" distR="0">
            <wp:extent cx="5457511" cy="9978001"/>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3217" t="1956" r="11826" b="1711"/>
                    <a:stretch>
                      <a:fillRect/>
                    </a:stretch>
                  </pic:blipFill>
                  <pic:spPr bwMode="auto">
                    <a:xfrm>
                      <a:off x="0" y="0"/>
                      <a:ext cx="5457511" cy="9978001"/>
                    </a:xfrm>
                    <a:prstGeom prst="rect">
                      <a:avLst/>
                    </a:prstGeom>
                    <a:noFill/>
                    <a:ln w="9525">
                      <a:noFill/>
                      <a:miter lim="800000"/>
                      <a:headEnd/>
                      <a:tailEnd/>
                    </a:ln>
                  </pic:spPr>
                </pic:pic>
              </a:graphicData>
            </a:graphic>
          </wp:inline>
        </w:drawing>
      </w:r>
      <w:r w:rsidR="00CE6E03" w:rsidRPr="00EB1CD4">
        <w:br w:type="page"/>
      </w:r>
      <w:r w:rsidR="00CE6E03" w:rsidRPr="00EB1CD4">
        <w:rPr>
          <w:noProof/>
          <w:lang w:val="es-ES"/>
        </w:rPr>
        <w:lastRenderedPageBreak/>
        <w:drawing>
          <wp:inline distT="0" distB="0" distL="0" distR="0">
            <wp:extent cx="5572125" cy="10107576"/>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6048" t="4111" r="7258" b="1572"/>
                    <a:stretch>
                      <a:fillRect/>
                    </a:stretch>
                  </pic:blipFill>
                  <pic:spPr bwMode="auto">
                    <a:xfrm>
                      <a:off x="0" y="0"/>
                      <a:ext cx="5573892" cy="10110781"/>
                    </a:xfrm>
                    <a:prstGeom prst="rect">
                      <a:avLst/>
                    </a:prstGeom>
                    <a:noFill/>
                    <a:ln w="9525">
                      <a:noFill/>
                      <a:miter lim="800000"/>
                      <a:headEnd/>
                      <a:tailEnd/>
                    </a:ln>
                  </pic:spPr>
                </pic:pic>
              </a:graphicData>
            </a:graphic>
          </wp:inline>
        </w:drawing>
      </w:r>
    </w:p>
    <w:p w:rsidR="00CE6E03" w:rsidRPr="00EB1CD4" w:rsidRDefault="00CE6E03" w:rsidP="00EB1CD4">
      <w:pPr>
        <w:jc w:val="left"/>
      </w:pPr>
      <w:r w:rsidRPr="00EB1CD4">
        <w:br w:type="page"/>
      </w:r>
    </w:p>
    <w:p w:rsidR="00CE6E03" w:rsidRPr="00EB1CD4" w:rsidRDefault="00CE6E03" w:rsidP="00EB1CD4">
      <w:pPr>
        <w:jc w:val="left"/>
      </w:pPr>
      <w:r w:rsidRPr="00EB1CD4">
        <w:rPr>
          <w:noProof/>
          <w:lang w:val="es-ES"/>
        </w:rPr>
        <w:lastRenderedPageBreak/>
        <w:drawing>
          <wp:inline distT="0" distB="0" distL="0" distR="0">
            <wp:extent cx="5438775" cy="6019248"/>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4490" t="6767" r="7551" b="3571"/>
                    <a:stretch>
                      <a:fillRect/>
                    </a:stretch>
                  </pic:blipFill>
                  <pic:spPr bwMode="auto">
                    <a:xfrm>
                      <a:off x="0" y="0"/>
                      <a:ext cx="5438775" cy="6019248"/>
                    </a:xfrm>
                    <a:prstGeom prst="rect">
                      <a:avLst/>
                    </a:prstGeom>
                    <a:noFill/>
                    <a:ln w="9525">
                      <a:noFill/>
                      <a:miter lim="800000"/>
                      <a:headEnd/>
                      <a:tailEnd/>
                    </a:ln>
                  </pic:spPr>
                </pic:pic>
              </a:graphicData>
            </a:graphic>
          </wp:inline>
        </w:drawing>
      </w:r>
    </w:p>
    <w:p w:rsidR="00CE6E03" w:rsidRPr="00EB1CD4" w:rsidRDefault="00CE6E03" w:rsidP="00EB1CD4">
      <w:pPr>
        <w:jc w:val="left"/>
      </w:pPr>
      <w:r w:rsidRPr="00EB1CD4">
        <w:br w:type="page"/>
      </w:r>
    </w:p>
    <w:p w:rsidR="00CE6E03" w:rsidRPr="00EB1CD4" w:rsidRDefault="00CE6E03" w:rsidP="00EB1CD4">
      <w:pPr>
        <w:jc w:val="left"/>
      </w:pPr>
      <w:r w:rsidRPr="00EB1CD4">
        <w:rPr>
          <w:noProof/>
          <w:lang w:val="es-ES"/>
        </w:rPr>
        <w:lastRenderedPageBreak/>
        <w:drawing>
          <wp:inline distT="0" distB="0" distL="0" distR="0">
            <wp:extent cx="5517136" cy="3895725"/>
            <wp:effectExtent l="19050" t="0" r="7364"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l="3903" t="3369" r="1130" b="1576"/>
                    <a:stretch>
                      <a:fillRect/>
                    </a:stretch>
                  </pic:blipFill>
                  <pic:spPr bwMode="auto">
                    <a:xfrm>
                      <a:off x="0" y="0"/>
                      <a:ext cx="5517136" cy="3895725"/>
                    </a:xfrm>
                    <a:prstGeom prst="rect">
                      <a:avLst/>
                    </a:prstGeom>
                    <a:noFill/>
                    <a:ln w="9525">
                      <a:noFill/>
                      <a:miter lim="800000"/>
                      <a:headEnd/>
                      <a:tailEnd/>
                    </a:ln>
                  </pic:spPr>
                </pic:pic>
              </a:graphicData>
            </a:graphic>
          </wp:inline>
        </w:drawing>
      </w:r>
    </w:p>
    <w:p w:rsidR="00CE6E03" w:rsidRPr="00EB1CD4" w:rsidRDefault="00CE6E03" w:rsidP="00EB1CD4">
      <w:pPr>
        <w:jc w:val="left"/>
      </w:pPr>
      <w:r w:rsidRPr="00EB1CD4">
        <w:br w:type="page"/>
      </w:r>
    </w:p>
    <w:p w:rsidR="00CE6E03" w:rsidRPr="00EB1CD4" w:rsidRDefault="00CE6E03" w:rsidP="00EB1CD4">
      <w:pPr>
        <w:jc w:val="left"/>
      </w:pPr>
      <w:r w:rsidRPr="00EB1CD4">
        <w:rPr>
          <w:noProof/>
          <w:lang w:val="es-ES"/>
        </w:rPr>
        <w:lastRenderedPageBreak/>
        <w:drawing>
          <wp:inline distT="0" distB="0" distL="0" distR="0">
            <wp:extent cx="5724525" cy="7986544"/>
            <wp:effectExtent l="1905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l="1361" r="1485" b="871"/>
                    <a:stretch>
                      <a:fillRect/>
                    </a:stretch>
                  </pic:blipFill>
                  <pic:spPr bwMode="auto">
                    <a:xfrm>
                      <a:off x="0" y="0"/>
                      <a:ext cx="5727139" cy="7990191"/>
                    </a:xfrm>
                    <a:prstGeom prst="rect">
                      <a:avLst/>
                    </a:prstGeom>
                    <a:noFill/>
                    <a:ln w="9525">
                      <a:noFill/>
                      <a:miter lim="800000"/>
                      <a:headEnd/>
                      <a:tailEnd/>
                    </a:ln>
                  </pic:spPr>
                </pic:pic>
              </a:graphicData>
            </a:graphic>
          </wp:inline>
        </w:drawing>
      </w:r>
    </w:p>
    <w:p w:rsidR="00CE6E03" w:rsidRPr="00EB1CD4" w:rsidRDefault="00CE6E03" w:rsidP="00EB1CD4">
      <w:pPr>
        <w:jc w:val="left"/>
      </w:pPr>
      <w:r w:rsidRPr="00EB1CD4">
        <w:br w:type="page"/>
      </w:r>
    </w:p>
    <w:p w:rsidR="00CE6E03" w:rsidRPr="00EB1CD4" w:rsidRDefault="00CE6E03" w:rsidP="00EB1CD4">
      <w:pPr>
        <w:jc w:val="left"/>
      </w:pPr>
      <w:r w:rsidRPr="00EB1CD4">
        <w:rPr>
          <w:noProof/>
          <w:lang w:val="es-ES"/>
        </w:rPr>
        <w:lastRenderedPageBreak/>
        <w:drawing>
          <wp:inline distT="0" distB="0" distL="0" distR="0">
            <wp:extent cx="5905500" cy="6437712"/>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l="1536"/>
                    <a:stretch>
                      <a:fillRect/>
                    </a:stretch>
                  </pic:blipFill>
                  <pic:spPr bwMode="auto">
                    <a:xfrm>
                      <a:off x="0" y="0"/>
                      <a:ext cx="5905500" cy="6437712"/>
                    </a:xfrm>
                    <a:prstGeom prst="rect">
                      <a:avLst/>
                    </a:prstGeom>
                    <a:noFill/>
                    <a:ln w="9525">
                      <a:noFill/>
                      <a:miter lim="800000"/>
                      <a:headEnd/>
                      <a:tailEnd/>
                    </a:ln>
                  </pic:spPr>
                </pic:pic>
              </a:graphicData>
            </a:graphic>
          </wp:inline>
        </w:drawing>
      </w:r>
    </w:p>
    <w:sectPr w:rsidR="00CE6E03" w:rsidRPr="00EB1CD4" w:rsidSect="00835B6D">
      <w:headerReference w:type="default" r:id="rId13"/>
      <w:footerReference w:type="default" r:id="rId14"/>
      <w:pgSz w:w="12242" w:h="20163" w:code="5"/>
      <w:pgMar w:top="2268" w:right="851" w:bottom="1418"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A86" w:rsidRDefault="00EF2A86">
      <w:r>
        <w:separator/>
      </w:r>
    </w:p>
  </w:endnote>
  <w:endnote w:type="continuationSeparator" w:id="0">
    <w:p w:rsidR="00EF2A86" w:rsidRDefault="00EF2A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169" w:rsidRPr="00D0112F" w:rsidRDefault="00F10169">
    <w:pPr>
      <w:pStyle w:val="Piedepgina"/>
      <w:rPr>
        <w:color w:val="333333"/>
        <w:sz w:val="20"/>
      </w:rPr>
    </w:pPr>
    <w:bookmarkStart w:id="0" w:name="Despacho"/>
    <w:bookmarkEnd w:id="0"/>
  </w:p>
  <w:p w:rsidR="00F10169" w:rsidRPr="00D0112F" w:rsidRDefault="00F10169">
    <w:pPr>
      <w:pStyle w:val="Piedepgina"/>
      <w:rPr>
        <w:color w:val="333333"/>
        <w:sz w:val="20"/>
      </w:rPr>
    </w:pPr>
    <w:r w:rsidRPr="00D0112F">
      <w:rPr>
        <w:color w:val="333333"/>
        <w:sz w:val="20"/>
      </w:rPr>
      <w:t xml:space="preserve">Último cambio: </w:t>
    </w:r>
    <w:fldSimple w:instr=" SAVEDATE  \* MERGEFORMAT ">
      <w:r w:rsidR="00020285" w:rsidRPr="00020285">
        <w:rPr>
          <w:noProof/>
          <w:color w:val="333333"/>
          <w:sz w:val="20"/>
        </w:rPr>
        <w:t>23/04/2024 12:28:00</w:t>
      </w:r>
    </w:fldSimple>
    <w:r w:rsidRPr="00D0112F">
      <w:rPr>
        <w:color w:val="333333"/>
        <w:sz w:val="20"/>
      </w:rPr>
      <w:t xml:space="preserve">  -  Cantidad de caracteres: </w:t>
    </w:r>
    <w:fldSimple w:instr=" NUMCHARS  \* MERGEFORMAT ">
      <w:r w:rsidR="00D0112F" w:rsidRPr="00D0112F">
        <w:rPr>
          <w:noProof/>
          <w:color w:val="333333"/>
          <w:sz w:val="20"/>
        </w:rPr>
        <w:t>8373</w:t>
      </w:r>
    </w:fldSimple>
    <w:r w:rsidRPr="00D0112F">
      <w:rPr>
        <w:color w:val="333333"/>
        <w:sz w:val="20"/>
      </w:rPr>
      <w:t xml:space="preserve"> - Cantidad de palabras: </w:t>
    </w:r>
    <w:fldSimple w:instr=" NUMWORDS  \* MERGEFORMAT ">
      <w:r w:rsidR="00D0112F" w:rsidRPr="00D0112F">
        <w:rPr>
          <w:noProof/>
          <w:color w:val="333333"/>
          <w:sz w:val="20"/>
        </w:rPr>
        <w:t>1448</w:t>
      </w:r>
    </w:fldSimple>
  </w:p>
  <w:p w:rsidR="00F10169" w:rsidRPr="00D0112F" w:rsidRDefault="00F10169" w:rsidP="00B05649">
    <w:pPr>
      <w:pStyle w:val="Piedepgina"/>
      <w:tabs>
        <w:tab w:val="left" w:pos="3565"/>
      </w:tabs>
      <w:rPr>
        <w:rStyle w:val="Nmerodepgina"/>
        <w:color w:val="333333"/>
      </w:rPr>
    </w:pPr>
    <w:r w:rsidRPr="00D0112F">
      <w:rPr>
        <w:color w:val="333333"/>
        <w:sz w:val="20"/>
      </w:rPr>
      <w:tab/>
      <w:t>Pág.</w:t>
    </w:r>
    <w:r w:rsidRPr="00D0112F">
      <w:rPr>
        <w:color w:val="333333"/>
      </w:rPr>
      <w:t xml:space="preserve"> </w:t>
    </w:r>
    <w:r w:rsidR="001A33D0" w:rsidRPr="00D0112F">
      <w:rPr>
        <w:rStyle w:val="Nmerodepgina"/>
        <w:color w:val="333333"/>
      </w:rPr>
      <w:fldChar w:fldCharType="begin"/>
    </w:r>
    <w:r w:rsidRPr="00D0112F">
      <w:rPr>
        <w:rStyle w:val="Nmerodepgina"/>
        <w:color w:val="333333"/>
      </w:rPr>
      <w:instrText xml:space="preserve"> PAGE </w:instrText>
    </w:r>
    <w:r w:rsidR="001A33D0" w:rsidRPr="00D0112F">
      <w:rPr>
        <w:rStyle w:val="Nmerodepgina"/>
        <w:color w:val="333333"/>
      </w:rPr>
      <w:fldChar w:fldCharType="separate"/>
    </w:r>
    <w:r w:rsidR="00680592">
      <w:rPr>
        <w:rStyle w:val="Nmerodepgina"/>
        <w:noProof/>
        <w:color w:val="333333"/>
      </w:rPr>
      <w:t>5</w:t>
    </w:r>
    <w:r w:rsidR="001A33D0" w:rsidRPr="00D0112F">
      <w:rPr>
        <w:rStyle w:val="Nmerodepgina"/>
        <w:color w:val="333333"/>
      </w:rPr>
      <w:fldChar w:fldCharType="end"/>
    </w:r>
    <w:r w:rsidRPr="00D0112F">
      <w:rPr>
        <w:rStyle w:val="Nmerodepgina"/>
        <w:color w:val="333333"/>
      </w:rPr>
      <w:t>/</w:t>
    </w:r>
    <w:fldSimple w:instr=" NUMPAGES  \* MERGEFORMAT ">
      <w:r w:rsidR="00680592" w:rsidRPr="00680592">
        <w:rPr>
          <w:rStyle w:val="Nmerodepgina"/>
          <w:noProof/>
          <w:color w:val="333333"/>
        </w:rPr>
        <w:t>11</w:t>
      </w:r>
    </w:fldSimple>
    <w:r w:rsidRPr="00D0112F">
      <w:rPr>
        <w:rStyle w:val="Nmerodepgina"/>
        <w:color w:val="333333"/>
      </w:rPr>
      <w:t xml:space="preserve"> </w:t>
    </w:r>
  </w:p>
  <w:p w:rsidR="00F10169" w:rsidRPr="00D0112F" w:rsidRDefault="00F10169">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A86" w:rsidRDefault="00EF2A86">
      <w:r>
        <w:separator/>
      </w:r>
    </w:p>
  </w:footnote>
  <w:footnote w:type="continuationSeparator" w:id="0">
    <w:p w:rsidR="00EF2A86" w:rsidRDefault="00EF2A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169" w:rsidRDefault="00F10169"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F10169" w:rsidRDefault="00F10169"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rsids>
    <w:rsidRoot w:val="00233C42"/>
    <w:rsid w:val="00000D04"/>
    <w:rsid w:val="00001988"/>
    <w:rsid w:val="000031F8"/>
    <w:rsid w:val="00011BD5"/>
    <w:rsid w:val="00020285"/>
    <w:rsid w:val="00026382"/>
    <w:rsid w:val="00026430"/>
    <w:rsid w:val="00030DF5"/>
    <w:rsid w:val="0003615C"/>
    <w:rsid w:val="000376AB"/>
    <w:rsid w:val="00043882"/>
    <w:rsid w:val="00043AAD"/>
    <w:rsid w:val="000619DE"/>
    <w:rsid w:val="00062864"/>
    <w:rsid w:val="00067370"/>
    <w:rsid w:val="000713D7"/>
    <w:rsid w:val="000713F9"/>
    <w:rsid w:val="00071CFB"/>
    <w:rsid w:val="00074A1E"/>
    <w:rsid w:val="00077DAC"/>
    <w:rsid w:val="00080837"/>
    <w:rsid w:val="00081FFF"/>
    <w:rsid w:val="00085D07"/>
    <w:rsid w:val="0008706C"/>
    <w:rsid w:val="000A5A13"/>
    <w:rsid w:val="000B2290"/>
    <w:rsid w:val="000D1497"/>
    <w:rsid w:val="000D2860"/>
    <w:rsid w:val="000D6C54"/>
    <w:rsid w:val="000E3949"/>
    <w:rsid w:val="000F3AE3"/>
    <w:rsid w:val="000F74CB"/>
    <w:rsid w:val="000F7E30"/>
    <w:rsid w:val="00103C6B"/>
    <w:rsid w:val="00104335"/>
    <w:rsid w:val="00124BDB"/>
    <w:rsid w:val="00127D10"/>
    <w:rsid w:val="00136787"/>
    <w:rsid w:val="00145016"/>
    <w:rsid w:val="00145948"/>
    <w:rsid w:val="00155C7C"/>
    <w:rsid w:val="00160A2A"/>
    <w:rsid w:val="001614A7"/>
    <w:rsid w:val="00164BF9"/>
    <w:rsid w:val="001842FA"/>
    <w:rsid w:val="00184E76"/>
    <w:rsid w:val="0018716D"/>
    <w:rsid w:val="0019414B"/>
    <w:rsid w:val="001A33D0"/>
    <w:rsid w:val="001B0CF3"/>
    <w:rsid w:val="001B770D"/>
    <w:rsid w:val="001C18CC"/>
    <w:rsid w:val="001D480C"/>
    <w:rsid w:val="001E5394"/>
    <w:rsid w:val="001F004B"/>
    <w:rsid w:val="001F2924"/>
    <w:rsid w:val="001F3AFD"/>
    <w:rsid w:val="001F5D39"/>
    <w:rsid w:val="00205802"/>
    <w:rsid w:val="00205DAD"/>
    <w:rsid w:val="002146A4"/>
    <w:rsid w:val="00223436"/>
    <w:rsid w:val="00231BFF"/>
    <w:rsid w:val="002327DE"/>
    <w:rsid w:val="00233C42"/>
    <w:rsid w:val="00244A2B"/>
    <w:rsid w:val="00246DF0"/>
    <w:rsid w:val="002474C4"/>
    <w:rsid w:val="0026220D"/>
    <w:rsid w:val="00262FE1"/>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265"/>
    <w:rsid w:val="00315C77"/>
    <w:rsid w:val="0033168A"/>
    <w:rsid w:val="00335CD9"/>
    <w:rsid w:val="00340F54"/>
    <w:rsid w:val="0035681D"/>
    <w:rsid w:val="00367A03"/>
    <w:rsid w:val="003A4D04"/>
    <w:rsid w:val="003A7311"/>
    <w:rsid w:val="003A7316"/>
    <w:rsid w:val="003B471C"/>
    <w:rsid w:val="003D10AB"/>
    <w:rsid w:val="003D20C5"/>
    <w:rsid w:val="003D4000"/>
    <w:rsid w:val="003E13DE"/>
    <w:rsid w:val="003F1EFD"/>
    <w:rsid w:val="003F4249"/>
    <w:rsid w:val="00401C75"/>
    <w:rsid w:val="0040761B"/>
    <w:rsid w:val="00422C3F"/>
    <w:rsid w:val="004354AC"/>
    <w:rsid w:val="00446E1A"/>
    <w:rsid w:val="004600C3"/>
    <w:rsid w:val="00470BD5"/>
    <w:rsid w:val="00472439"/>
    <w:rsid w:val="00473DED"/>
    <w:rsid w:val="004847CA"/>
    <w:rsid w:val="00497E4B"/>
    <w:rsid w:val="004B7714"/>
    <w:rsid w:val="004D2D62"/>
    <w:rsid w:val="004D30D5"/>
    <w:rsid w:val="004D438B"/>
    <w:rsid w:val="004E235F"/>
    <w:rsid w:val="0051012E"/>
    <w:rsid w:val="005142E6"/>
    <w:rsid w:val="00517C14"/>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14ED"/>
    <w:rsid w:val="005B6538"/>
    <w:rsid w:val="005C37AB"/>
    <w:rsid w:val="005F35E2"/>
    <w:rsid w:val="00601A75"/>
    <w:rsid w:val="00606D7C"/>
    <w:rsid w:val="00614903"/>
    <w:rsid w:val="00616F70"/>
    <w:rsid w:val="00622DE5"/>
    <w:rsid w:val="00630868"/>
    <w:rsid w:val="00636BE0"/>
    <w:rsid w:val="0064363E"/>
    <w:rsid w:val="00647665"/>
    <w:rsid w:val="0065711B"/>
    <w:rsid w:val="006758D1"/>
    <w:rsid w:val="00680592"/>
    <w:rsid w:val="006811D6"/>
    <w:rsid w:val="00690392"/>
    <w:rsid w:val="00697F98"/>
    <w:rsid w:val="006A6925"/>
    <w:rsid w:val="006C326A"/>
    <w:rsid w:val="006C40E9"/>
    <w:rsid w:val="006D1E5E"/>
    <w:rsid w:val="006D3303"/>
    <w:rsid w:val="006D5CB7"/>
    <w:rsid w:val="006E32E2"/>
    <w:rsid w:val="006E3675"/>
    <w:rsid w:val="00705135"/>
    <w:rsid w:val="00706B8E"/>
    <w:rsid w:val="007125F2"/>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920"/>
    <w:rsid w:val="007C0CF9"/>
    <w:rsid w:val="007D2169"/>
    <w:rsid w:val="007D2459"/>
    <w:rsid w:val="007E2AB2"/>
    <w:rsid w:val="007E3534"/>
    <w:rsid w:val="007E36D1"/>
    <w:rsid w:val="007F1C4A"/>
    <w:rsid w:val="008019FD"/>
    <w:rsid w:val="008034F8"/>
    <w:rsid w:val="00812683"/>
    <w:rsid w:val="00820A3A"/>
    <w:rsid w:val="00827228"/>
    <w:rsid w:val="00835B6D"/>
    <w:rsid w:val="008433E2"/>
    <w:rsid w:val="00846702"/>
    <w:rsid w:val="008553EB"/>
    <w:rsid w:val="0086333F"/>
    <w:rsid w:val="00865A95"/>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11B8"/>
    <w:rsid w:val="009A6E2B"/>
    <w:rsid w:val="009B3450"/>
    <w:rsid w:val="009B4FAC"/>
    <w:rsid w:val="009C20D3"/>
    <w:rsid w:val="009E5835"/>
    <w:rsid w:val="009F4D92"/>
    <w:rsid w:val="009F4E01"/>
    <w:rsid w:val="00A06A2B"/>
    <w:rsid w:val="00A07090"/>
    <w:rsid w:val="00A11AD7"/>
    <w:rsid w:val="00A1286B"/>
    <w:rsid w:val="00A218E0"/>
    <w:rsid w:val="00A240CA"/>
    <w:rsid w:val="00A37C1D"/>
    <w:rsid w:val="00A40D86"/>
    <w:rsid w:val="00A43208"/>
    <w:rsid w:val="00A47920"/>
    <w:rsid w:val="00A502EF"/>
    <w:rsid w:val="00A55E61"/>
    <w:rsid w:val="00A666E1"/>
    <w:rsid w:val="00A66804"/>
    <w:rsid w:val="00A75EED"/>
    <w:rsid w:val="00A7779B"/>
    <w:rsid w:val="00A878E2"/>
    <w:rsid w:val="00A962A7"/>
    <w:rsid w:val="00AA08DB"/>
    <w:rsid w:val="00AA2FEA"/>
    <w:rsid w:val="00AA7C22"/>
    <w:rsid w:val="00AB0A73"/>
    <w:rsid w:val="00AB5EB2"/>
    <w:rsid w:val="00AC3839"/>
    <w:rsid w:val="00AC3EFD"/>
    <w:rsid w:val="00AE1291"/>
    <w:rsid w:val="00AE2E8F"/>
    <w:rsid w:val="00AF5760"/>
    <w:rsid w:val="00AF6352"/>
    <w:rsid w:val="00B05649"/>
    <w:rsid w:val="00B1723C"/>
    <w:rsid w:val="00B177FE"/>
    <w:rsid w:val="00B264C1"/>
    <w:rsid w:val="00B31B65"/>
    <w:rsid w:val="00B36178"/>
    <w:rsid w:val="00B4532F"/>
    <w:rsid w:val="00B46232"/>
    <w:rsid w:val="00B6447C"/>
    <w:rsid w:val="00B85EE2"/>
    <w:rsid w:val="00BF2B7B"/>
    <w:rsid w:val="00BF71C2"/>
    <w:rsid w:val="00BF7869"/>
    <w:rsid w:val="00C26F53"/>
    <w:rsid w:val="00C330CB"/>
    <w:rsid w:val="00C3675D"/>
    <w:rsid w:val="00C419C1"/>
    <w:rsid w:val="00C51E49"/>
    <w:rsid w:val="00C521F9"/>
    <w:rsid w:val="00C63351"/>
    <w:rsid w:val="00C71253"/>
    <w:rsid w:val="00C734F9"/>
    <w:rsid w:val="00C87365"/>
    <w:rsid w:val="00C93FF6"/>
    <w:rsid w:val="00CC072A"/>
    <w:rsid w:val="00CC20B0"/>
    <w:rsid w:val="00CD3069"/>
    <w:rsid w:val="00CE163F"/>
    <w:rsid w:val="00CE6E03"/>
    <w:rsid w:val="00D0112F"/>
    <w:rsid w:val="00D1108B"/>
    <w:rsid w:val="00D14895"/>
    <w:rsid w:val="00D21279"/>
    <w:rsid w:val="00D23C57"/>
    <w:rsid w:val="00D43AA2"/>
    <w:rsid w:val="00D518DB"/>
    <w:rsid w:val="00D5445D"/>
    <w:rsid w:val="00D55ECB"/>
    <w:rsid w:val="00D67721"/>
    <w:rsid w:val="00D758CE"/>
    <w:rsid w:val="00D76A86"/>
    <w:rsid w:val="00D861FC"/>
    <w:rsid w:val="00D9216A"/>
    <w:rsid w:val="00D927D4"/>
    <w:rsid w:val="00DD2795"/>
    <w:rsid w:val="00DD4DE2"/>
    <w:rsid w:val="00DD520D"/>
    <w:rsid w:val="00DF0164"/>
    <w:rsid w:val="00DF54AA"/>
    <w:rsid w:val="00E0112F"/>
    <w:rsid w:val="00E07D33"/>
    <w:rsid w:val="00E12909"/>
    <w:rsid w:val="00E12DDE"/>
    <w:rsid w:val="00E143B6"/>
    <w:rsid w:val="00E30CFF"/>
    <w:rsid w:val="00E4609D"/>
    <w:rsid w:val="00E55186"/>
    <w:rsid w:val="00E615F1"/>
    <w:rsid w:val="00E63146"/>
    <w:rsid w:val="00E64A1D"/>
    <w:rsid w:val="00E74920"/>
    <w:rsid w:val="00E7509E"/>
    <w:rsid w:val="00E81EE5"/>
    <w:rsid w:val="00E91F21"/>
    <w:rsid w:val="00EA497C"/>
    <w:rsid w:val="00EB1CD4"/>
    <w:rsid w:val="00EB5D57"/>
    <w:rsid w:val="00EB6956"/>
    <w:rsid w:val="00EF0D22"/>
    <w:rsid w:val="00EF2A86"/>
    <w:rsid w:val="00F10169"/>
    <w:rsid w:val="00F13C69"/>
    <w:rsid w:val="00F27062"/>
    <w:rsid w:val="00F35022"/>
    <w:rsid w:val="00F41DF6"/>
    <w:rsid w:val="00F52245"/>
    <w:rsid w:val="00F5569F"/>
    <w:rsid w:val="00F60308"/>
    <w:rsid w:val="00F640D0"/>
    <w:rsid w:val="00F75389"/>
    <w:rsid w:val="00F903E8"/>
    <w:rsid w:val="00FA0C8C"/>
    <w:rsid w:val="00FB26DA"/>
    <w:rsid w:val="00FD07F5"/>
    <w:rsid w:val="00FD3D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665"/>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647665"/>
    <w:pPr>
      <w:ind w:left="3686"/>
    </w:pPr>
  </w:style>
  <w:style w:type="paragraph" w:styleId="Encabezado">
    <w:name w:val="header"/>
    <w:basedOn w:val="Normal"/>
    <w:link w:val="EncabezadoCar"/>
    <w:uiPriority w:val="99"/>
    <w:rsid w:val="00647665"/>
    <w:pPr>
      <w:tabs>
        <w:tab w:val="center" w:pos="4419"/>
        <w:tab w:val="right" w:pos="8838"/>
      </w:tabs>
    </w:pPr>
  </w:style>
  <w:style w:type="paragraph" w:styleId="Piedepgina">
    <w:name w:val="footer"/>
    <w:basedOn w:val="Normal"/>
    <w:rsid w:val="00647665"/>
    <w:pPr>
      <w:tabs>
        <w:tab w:val="center" w:pos="4419"/>
        <w:tab w:val="right" w:pos="8838"/>
      </w:tabs>
    </w:pPr>
  </w:style>
  <w:style w:type="character" w:styleId="Nmerodepgina">
    <w:name w:val="page number"/>
    <w:basedOn w:val="Fuentedeprrafopredeter"/>
    <w:rsid w:val="00647665"/>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233C42"/>
    <w:rPr>
      <w:rFonts w:ascii="Tahoma" w:hAnsi="Tahoma" w:cs="Tahoma"/>
      <w:sz w:val="16"/>
      <w:szCs w:val="16"/>
    </w:rPr>
  </w:style>
  <w:style w:type="character" w:customStyle="1" w:styleId="TextodegloboCar">
    <w:name w:val="Texto de globo Car"/>
    <w:basedOn w:val="Fuentedeprrafopredeter"/>
    <w:link w:val="Textodeglobo"/>
    <w:uiPriority w:val="99"/>
    <w:semiHidden/>
    <w:rsid w:val="00233C42"/>
    <w:rPr>
      <w:rFonts w:ascii="Tahoma" w:hAnsi="Tahoma" w:cs="Tahoma"/>
      <w:sz w:val="16"/>
      <w:szCs w:val="16"/>
      <w:lang w:val="es-ES_tradnl"/>
    </w:rPr>
  </w:style>
  <w:style w:type="character" w:styleId="Hipervnculo">
    <w:name w:val="Hyperlink"/>
    <w:basedOn w:val="Fuentedeprrafopredeter"/>
    <w:uiPriority w:val="99"/>
    <w:unhideWhenUsed/>
    <w:rsid w:val="00472439"/>
    <w:rPr>
      <w:color w:val="0000FF" w:themeColor="hyperlink"/>
      <w:u w:val="single"/>
    </w:rPr>
  </w:style>
  <w:style w:type="table" w:styleId="Tablaconcuadrcula">
    <w:name w:val="Table Grid"/>
    <w:basedOn w:val="Tablanormal"/>
    <w:uiPriority w:val="59"/>
    <w:rsid w:val="003D20C5"/>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3730229">
      <w:bodyDiv w:val="1"/>
      <w:marLeft w:val="0"/>
      <w:marRight w:val="0"/>
      <w:marTop w:val="0"/>
      <w:marBottom w:val="0"/>
      <w:divBdr>
        <w:top w:val="none" w:sz="0" w:space="0" w:color="auto"/>
        <w:left w:val="none" w:sz="0" w:space="0" w:color="auto"/>
        <w:bottom w:val="none" w:sz="0" w:space="0" w:color="auto"/>
        <w:right w:val="none" w:sz="0" w:space="0" w:color="auto"/>
      </w:divBdr>
    </w:div>
    <w:div w:id="353113452">
      <w:bodyDiv w:val="1"/>
      <w:marLeft w:val="0"/>
      <w:marRight w:val="0"/>
      <w:marTop w:val="0"/>
      <w:marBottom w:val="0"/>
      <w:divBdr>
        <w:top w:val="none" w:sz="0" w:space="0" w:color="auto"/>
        <w:left w:val="none" w:sz="0" w:space="0" w:color="auto"/>
        <w:bottom w:val="none" w:sz="0" w:space="0" w:color="auto"/>
        <w:right w:val="none" w:sz="0" w:space="0" w:color="auto"/>
      </w:divBdr>
    </w:div>
    <w:div w:id="441538755">
      <w:bodyDiv w:val="1"/>
      <w:marLeft w:val="0"/>
      <w:marRight w:val="0"/>
      <w:marTop w:val="0"/>
      <w:marBottom w:val="0"/>
      <w:divBdr>
        <w:top w:val="none" w:sz="0" w:space="0" w:color="auto"/>
        <w:left w:val="none" w:sz="0" w:space="0" w:color="auto"/>
        <w:bottom w:val="none" w:sz="0" w:space="0" w:color="auto"/>
        <w:right w:val="none" w:sz="0" w:space="0" w:color="auto"/>
      </w:divBdr>
    </w:div>
    <w:div w:id="650451594">
      <w:bodyDiv w:val="1"/>
      <w:marLeft w:val="0"/>
      <w:marRight w:val="0"/>
      <w:marTop w:val="0"/>
      <w:marBottom w:val="0"/>
      <w:divBdr>
        <w:top w:val="none" w:sz="0" w:space="0" w:color="auto"/>
        <w:left w:val="none" w:sz="0" w:space="0" w:color="auto"/>
        <w:bottom w:val="none" w:sz="0" w:space="0" w:color="auto"/>
        <w:right w:val="none" w:sz="0" w:space="0" w:color="auto"/>
      </w:divBdr>
    </w:div>
    <w:div w:id="662045320">
      <w:bodyDiv w:val="1"/>
      <w:marLeft w:val="0"/>
      <w:marRight w:val="0"/>
      <w:marTop w:val="0"/>
      <w:marBottom w:val="0"/>
      <w:divBdr>
        <w:top w:val="none" w:sz="0" w:space="0" w:color="auto"/>
        <w:left w:val="none" w:sz="0" w:space="0" w:color="auto"/>
        <w:bottom w:val="none" w:sz="0" w:space="0" w:color="auto"/>
        <w:right w:val="none" w:sz="0" w:space="0" w:color="auto"/>
      </w:divBdr>
    </w:div>
    <w:div w:id="793595960">
      <w:bodyDiv w:val="1"/>
      <w:marLeft w:val="0"/>
      <w:marRight w:val="0"/>
      <w:marTop w:val="0"/>
      <w:marBottom w:val="0"/>
      <w:divBdr>
        <w:top w:val="none" w:sz="0" w:space="0" w:color="auto"/>
        <w:left w:val="none" w:sz="0" w:space="0" w:color="auto"/>
        <w:bottom w:val="none" w:sz="0" w:space="0" w:color="auto"/>
        <w:right w:val="none" w:sz="0" w:space="0" w:color="auto"/>
      </w:divBdr>
    </w:div>
    <w:div w:id="1314914923">
      <w:bodyDiv w:val="1"/>
      <w:marLeft w:val="0"/>
      <w:marRight w:val="0"/>
      <w:marTop w:val="0"/>
      <w:marBottom w:val="0"/>
      <w:divBdr>
        <w:top w:val="none" w:sz="0" w:space="0" w:color="auto"/>
        <w:left w:val="none" w:sz="0" w:space="0" w:color="auto"/>
        <w:bottom w:val="none" w:sz="0" w:space="0" w:color="auto"/>
        <w:right w:val="none" w:sz="0" w:space="0" w:color="auto"/>
      </w:divBdr>
    </w:div>
    <w:div w:id="1624732835">
      <w:bodyDiv w:val="1"/>
      <w:marLeft w:val="0"/>
      <w:marRight w:val="0"/>
      <w:marTop w:val="0"/>
      <w:marBottom w:val="0"/>
      <w:divBdr>
        <w:top w:val="none" w:sz="0" w:space="0" w:color="auto"/>
        <w:left w:val="none" w:sz="0" w:space="0" w:color="auto"/>
        <w:bottom w:val="none" w:sz="0" w:space="0" w:color="auto"/>
        <w:right w:val="none" w:sz="0" w:space="0" w:color="auto"/>
      </w:divBdr>
    </w:div>
    <w:div w:id="1632397594">
      <w:bodyDiv w:val="1"/>
      <w:marLeft w:val="0"/>
      <w:marRight w:val="0"/>
      <w:marTop w:val="0"/>
      <w:marBottom w:val="0"/>
      <w:divBdr>
        <w:top w:val="none" w:sz="0" w:space="0" w:color="auto"/>
        <w:left w:val="none" w:sz="0" w:space="0" w:color="auto"/>
        <w:bottom w:val="none" w:sz="0" w:space="0" w:color="auto"/>
        <w:right w:val="none" w:sz="0" w:space="0" w:color="auto"/>
      </w:divBdr>
    </w:div>
    <w:div w:id="1651246698">
      <w:bodyDiv w:val="1"/>
      <w:marLeft w:val="0"/>
      <w:marRight w:val="0"/>
      <w:marTop w:val="0"/>
      <w:marBottom w:val="0"/>
      <w:divBdr>
        <w:top w:val="none" w:sz="0" w:space="0" w:color="auto"/>
        <w:left w:val="none" w:sz="0" w:space="0" w:color="auto"/>
        <w:bottom w:val="none" w:sz="0" w:space="0" w:color="auto"/>
        <w:right w:val="none" w:sz="0" w:space="0" w:color="auto"/>
      </w:divBdr>
    </w:div>
    <w:div w:id="1939412945">
      <w:bodyDiv w:val="1"/>
      <w:marLeft w:val="0"/>
      <w:marRight w:val="0"/>
      <w:marTop w:val="0"/>
      <w:marBottom w:val="0"/>
      <w:divBdr>
        <w:top w:val="none" w:sz="0" w:space="0" w:color="auto"/>
        <w:left w:val="none" w:sz="0" w:space="0" w:color="auto"/>
        <w:bottom w:val="none" w:sz="0" w:space="0" w:color="auto"/>
        <w:right w:val="none" w:sz="0" w:space="0" w:color="auto"/>
      </w:divBdr>
    </w:div>
    <w:div w:id="198138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E7097-18D8-4F69-8CD1-052C46E5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11</Pages>
  <Words>1448</Words>
  <Characters>8509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9938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3</cp:revision>
  <cp:lastPrinted>2024-04-19T14:28:00Z</cp:lastPrinted>
  <dcterms:created xsi:type="dcterms:W3CDTF">2024-04-26T14:47:00Z</dcterms:created>
  <dcterms:modified xsi:type="dcterms:W3CDTF">2024-04-26T14:47:00Z</dcterms:modified>
</cp:coreProperties>
</file>