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6AF" w:rsidRPr="00035ADF" w:rsidRDefault="006236AF" w:rsidP="006236AF">
      <w:pPr>
        <w:rPr>
          <w:lang w:val="es-MX"/>
        </w:rPr>
      </w:pPr>
    </w:p>
    <w:p w:rsidR="006236AF" w:rsidRPr="00035ADF" w:rsidRDefault="006236AF" w:rsidP="006236AF">
      <w:pPr>
        <w:rPr>
          <w:lang w:val="es-MX"/>
        </w:rPr>
      </w:pPr>
    </w:p>
    <w:p w:rsidR="006236AF" w:rsidRPr="00035ADF" w:rsidRDefault="006236AF" w:rsidP="006236AF">
      <w:pPr>
        <w:rPr>
          <w:lang w:val="es-MX"/>
        </w:rPr>
      </w:pPr>
      <w:r w:rsidRPr="00035ADF">
        <w:rPr>
          <w:lang w:val="es-MX"/>
        </w:rPr>
        <w:t>Legislatura de la Ciudad Autónoma de Buenos Aires</w:t>
      </w:r>
    </w:p>
    <w:p w:rsidR="006236AF" w:rsidRPr="00035ADF" w:rsidRDefault="006236AF" w:rsidP="006236AF">
      <w:pPr>
        <w:rPr>
          <w:lang w:val="es-MX"/>
        </w:rPr>
      </w:pPr>
    </w:p>
    <w:p w:rsidR="006236AF" w:rsidRPr="00035ADF" w:rsidRDefault="006236AF" w:rsidP="006236AF">
      <w:pPr>
        <w:rPr>
          <w:lang w:val="es-MX"/>
        </w:rPr>
      </w:pPr>
      <w:r w:rsidRPr="00035ADF">
        <w:rPr>
          <w:lang w:val="es-MX"/>
        </w:rPr>
        <w:t>Visto:</w:t>
      </w:r>
      <w:r>
        <w:rPr>
          <w:lang w:val="es-MX"/>
        </w:rPr>
        <w:t xml:space="preserve"> </w:t>
      </w:r>
    </w:p>
    <w:p w:rsidR="006236AF" w:rsidRPr="00035ADF" w:rsidRDefault="006236AF" w:rsidP="006236AF">
      <w:pPr>
        <w:rPr>
          <w:lang w:val="es-MX"/>
        </w:rPr>
      </w:pPr>
    </w:p>
    <w:p w:rsidR="006236AF" w:rsidRPr="00BA7F85" w:rsidRDefault="006236AF" w:rsidP="006236AF">
      <w:pPr>
        <w:rPr>
          <w:szCs w:val="24"/>
        </w:rPr>
      </w:pPr>
      <w:r>
        <w:rPr>
          <w:lang w:val="es-MX"/>
        </w:rPr>
        <w:t xml:space="preserve">           </w:t>
      </w:r>
      <w:r>
        <w:rPr>
          <w:szCs w:val="24"/>
          <w:lang w:val="es-MX"/>
        </w:rPr>
        <w:t>E</w:t>
      </w:r>
      <w:r w:rsidRPr="004233DF">
        <w:rPr>
          <w:szCs w:val="24"/>
          <w:lang w:val="es-MX"/>
        </w:rPr>
        <w:t>l expediente</w:t>
      </w:r>
      <w:r>
        <w:rPr>
          <w:szCs w:val="24"/>
          <w:lang w:val="es-MX"/>
        </w:rPr>
        <w:t xml:space="preserve"> </w:t>
      </w:r>
      <w:r w:rsidRPr="00BA7F85">
        <w:rPr>
          <w:szCs w:val="24"/>
        </w:rPr>
        <w:t>1753-D-2024</w:t>
      </w:r>
      <w:r>
        <w:rPr>
          <w:szCs w:val="24"/>
        </w:rPr>
        <w:t>,</w:t>
      </w:r>
      <w:r w:rsidRPr="00795031">
        <w:rPr>
          <w:szCs w:val="24"/>
        </w:rPr>
        <w:t xml:space="preserve"> </w:t>
      </w:r>
      <w:r>
        <w:rPr>
          <w:szCs w:val="24"/>
        </w:rPr>
        <w:t xml:space="preserve">de autoría de la Diputada, </w:t>
      </w:r>
      <w:r w:rsidRPr="00E24D07">
        <w:rPr>
          <w:szCs w:val="24"/>
        </w:rPr>
        <w:t>Rey</w:t>
      </w:r>
      <w:r w:rsidRPr="00BA7F85">
        <w:rPr>
          <w:szCs w:val="24"/>
        </w:rPr>
        <w:t>,</w:t>
      </w:r>
      <w:r>
        <w:rPr>
          <w:szCs w:val="24"/>
        </w:rPr>
        <w:t xml:space="preserve"> Sandra Mónica</w:t>
      </w:r>
      <w:r w:rsidRPr="00BA7F85">
        <w:rPr>
          <w:szCs w:val="24"/>
        </w:rPr>
        <w:t xml:space="preserve"> </w:t>
      </w:r>
      <w:r>
        <w:rPr>
          <w:szCs w:val="24"/>
        </w:rPr>
        <w:t xml:space="preserve">y de las/los Diputados/as, </w:t>
      </w:r>
      <w:proofErr w:type="spellStart"/>
      <w:r w:rsidRPr="00E24D07">
        <w:rPr>
          <w:szCs w:val="24"/>
        </w:rPr>
        <w:t>Alifraco</w:t>
      </w:r>
      <w:proofErr w:type="spellEnd"/>
      <w:r w:rsidRPr="00BA7F85">
        <w:rPr>
          <w:szCs w:val="24"/>
        </w:rPr>
        <w:t xml:space="preserve">, </w:t>
      </w:r>
      <w:r>
        <w:rPr>
          <w:szCs w:val="24"/>
        </w:rPr>
        <w:t xml:space="preserve">Edgardo Néstor Adrian; </w:t>
      </w:r>
      <w:proofErr w:type="spellStart"/>
      <w:r w:rsidRPr="00E24D07">
        <w:rPr>
          <w:szCs w:val="24"/>
        </w:rPr>
        <w:t>Casielles</w:t>
      </w:r>
      <w:proofErr w:type="spellEnd"/>
      <w:r w:rsidRPr="00BA7F85">
        <w:rPr>
          <w:szCs w:val="24"/>
        </w:rPr>
        <w:t xml:space="preserve">, </w:t>
      </w:r>
      <w:r w:rsidRPr="00E24D07">
        <w:rPr>
          <w:szCs w:val="24"/>
        </w:rPr>
        <w:t>Eugenio;</w:t>
      </w:r>
      <w:r>
        <w:rPr>
          <w:szCs w:val="24"/>
        </w:rPr>
        <w:t xml:space="preserve"> </w:t>
      </w:r>
      <w:r w:rsidRPr="00E24D07">
        <w:rPr>
          <w:szCs w:val="24"/>
        </w:rPr>
        <w:t>Glize</w:t>
      </w:r>
      <w:r w:rsidRPr="00BA7F85">
        <w:rPr>
          <w:szCs w:val="24"/>
        </w:rPr>
        <w:t>,</w:t>
      </w:r>
      <w:r>
        <w:rPr>
          <w:szCs w:val="24"/>
        </w:rPr>
        <w:t xml:space="preserve"> </w:t>
      </w:r>
      <w:r w:rsidRPr="00E24D07">
        <w:rPr>
          <w:szCs w:val="24"/>
        </w:rPr>
        <w:t>Patricia Inés</w:t>
      </w:r>
      <w:r>
        <w:rPr>
          <w:szCs w:val="24"/>
        </w:rPr>
        <w:t>; Grillo</w:t>
      </w:r>
      <w:r w:rsidRPr="00BA7F85">
        <w:rPr>
          <w:szCs w:val="24"/>
        </w:rPr>
        <w:t xml:space="preserve">, </w:t>
      </w:r>
      <w:r>
        <w:rPr>
          <w:szCs w:val="24"/>
        </w:rPr>
        <w:t xml:space="preserve">Alejandro Omar; </w:t>
      </w:r>
      <w:r w:rsidRPr="00E24D07">
        <w:rPr>
          <w:szCs w:val="24"/>
        </w:rPr>
        <w:t>Kienast</w:t>
      </w:r>
      <w:r w:rsidRPr="00BA7F85">
        <w:rPr>
          <w:szCs w:val="24"/>
        </w:rPr>
        <w:t xml:space="preserve">, </w:t>
      </w:r>
      <w:r w:rsidRPr="00E24D07">
        <w:rPr>
          <w:szCs w:val="24"/>
        </w:rPr>
        <w:t>Marina;</w:t>
      </w:r>
      <w:r>
        <w:rPr>
          <w:szCs w:val="24"/>
        </w:rPr>
        <w:t xml:space="preserve"> </w:t>
      </w:r>
      <w:r w:rsidRPr="00E24D07">
        <w:rPr>
          <w:szCs w:val="24"/>
        </w:rPr>
        <w:t>Loupias</w:t>
      </w:r>
      <w:r w:rsidRPr="00BA7F85">
        <w:rPr>
          <w:szCs w:val="24"/>
        </w:rPr>
        <w:t>,</w:t>
      </w:r>
      <w:r>
        <w:rPr>
          <w:szCs w:val="24"/>
        </w:rPr>
        <w:t xml:space="preserve"> </w:t>
      </w:r>
      <w:r w:rsidRPr="00E24D07">
        <w:rPr>
          <w:szCs w:val="24"/>
        </w:rPr>
        <w:t>Juan Francisco</w:t>
      </w:r>
      <w:r>
        <w:rPr>
          <w:szCs w:val="24"/>
        </w:rPr>
        <w:t xml:space="preserve">; </w:t>
      </w:r>
      <w:r w:rsidRPr="00E24D07">
        <w:rPr>
          <w:szCs w:val="24"/>
        </w:rPr>
        <w:t>Marra</w:t>
      </w:r>
      <w:r w:rsidRPr="00BA7F85">
        <w:rPr>
          <w:szCs w:val="24"/>
        </w:rPr>
        <w:t xml:space="preserve">, </w:t>
      </w:r>
      <w:r>
        <w:rPr>
          <w:szCs w:val="24"/>
        </w:rPr>
        <w:t xml:space="preserve">Ramiro; </w:t>
      </w:r>
      <w:r w:rsidRPr="00E24D07">
        <w:rPr>
          <w:color w:val="000000"/>
          <w:szCs w:val="24"/>
        </w:rPr>
        <w:t>Méndez</w:t>
      </w:r>
      <w:r w:rsidRPr="00BA7F85">
        <w:rPr>
          <w:szCs w:val="24"/>
        </w:rPr>
        <w:t>,</w:t>
      </w:r>
      <w:r>
        <w:rPr>
          <w:szCs w:val="24"/>
        </w:rPr>
        <w:t xml:space="preserve"> </w:t>
      </w:r>
      <w:r w:rsidRPr="00E24D07">
        <w:rPr>
          <w:color w:val="000000"/>
          <w:szCs w:val="24"/>
        </w:rPr>
        <w:t>María Sol</w:t>
      </w:r>
      <w:r>
        <w:rPr>
          <w:szCs w:val="24"/>
        </w:rPr>
        <w:t xml:space="preserve">; </w:t>
      </w:r>
      <w:r w:rsidRPr="00E24D07">
        <w:rPr>
          <w:color w:val="000000"/>
          <w:szCs w:val="24"/>
        </w:rPr>
        <w:t>Michielotto</w:t>
      </w:r>
      <w:r w:rsidRPr="00BA7F85">
        <w:rPr>
          <w:szCs w:val="24"/>
        </w:rPr>
        <w:t xml:space="preserve">, </w:t>
      </w:r>
      <w:r w:rsidRPr="00E24D07">
        <w:rPr>
          <w:color w:val="000000"/>
          <w:szCs w:val="24"/>
        </w:rPr>
        <w:t>Paola Vanesa</w:t>
      </w:r>
      <w:r>
        <w:rPr>
          <w:color w:val="000000"/>
          <w:szCs w:val="24"/>
        </w:rPr>
        <w:t xml:space="preserve">; </w:t>
      </w:r>
      <w:r w:rsidRPr="00E24D07">
        <w:rPr>
          <w:szCs w:val="24"/>
        </w:rPr>
        <w:t>Parry</w:t>
      </w:r>
      <w:r w:rsidRPr="00BA7F85">
        <w:rPr>
          <w:szCs w:val="24"/>
        </w:rPr>
        <w:t>,</w:t>
      </w:r>
      <w:r>
        <w:rPr>
          <w:szCs w:val="24"/>
        </w:rPr>
        <w:t xml:space="preserve"> </w:t>
      </w:r>
      <w:r w:rsidRPr="00E24D07">
        <w:rPr>
          <w:szCs w:val="24"/>
        </w:rPr>
        <w:t>María Inés</w:t>
      </w:r>
      <w:r>
        <w:rPr>
          <w:szCs w:val="24"/>
        </w:rPr>
        <w:t>;</w:t>
      </w:r>
      <w:r w:rsidRPr="00BA7F85">
        <w:rPr>
          <w:szCs w:val="24"/>
        </w:rPr>
        <w:t xml:space="preserve"> </w:t>
      </w:r>
      <w:r w:rsidRPr="00E24D07">
        <w:rPr>
          <w:szCs w:val="24"/>
        </w:rPr>
        <w:t>Reta</w:t>
      </w:r>
      <w:r w:rsidRPr="00BA7F85">
        <w:rPr>
          <w:szCs w:val="24"/>
        </w:rPr>
        <w:t>,</w:t>
      </w:r>
      <w:r>
        <w:rPr>
          <w:szCs w:val="24"/>
        </w:rPr>
        <w:t xml:space="preserve"> </w:t>
      </w:r>
      <w:r w:rsidRPr="00E24D07">
        <w:rPr>
          <w:szCs w:val="24"/>
        </w:rPr>
        <w:t>Jorge</w:t>
      </w:r>
      <w:r>
        <w:rPr>
          <w:szCs w:val="24"/>
        </w:rPr>
        <w:t>;</w:t>
      </w:r>
      <w:r w:rsidRPr="00BA7F85">
        <w:rPr>
          <w:szCs w:val="24"/>
        </w:rPr>
        <w:t xml:space="preserve"> </w:t>
      </w:r>
      <w:r w:rsidRPr="00E24D07">
        <w:rPr>
          <w:szCs w:val="24"/>
        </w:rPr>
        <w:t>Siciliano</w:t>
      </w:r>
      <w:r w:rsidRPr="00BA7F85">
        <w:rPr>
          <w:szCs w:val="24"/>
        </w:rPr>
        <w:t>,</w:t>
      </w:r>
      <w:r>
        <w:rPr>
          <w:szCs w:val="24"/>
        </w:rPr>
        <w:t xml:space="preserve"> </w:t>
      </w:r>
      <w:r w:rsidRPr="00E24D07">
        <w:rPr>
          <w:szCs w:val="24"/>
        </w:rPr>
        <w:t>Sergio Hernán</w:t>
      </w:r>
      <w:r>
        <w:rPr>
          <w:szCs w:val="24"/>
        </w:rPr>
        <w:t xml:space="preserve">; proyecto de Ley a los efectos de declarar el </w:t>
      </w:r>
      <w:r w:rsidRPr="00BA7F85">
        <w:rPr>
          <w:szCs w:val="24"/>
        </w:rPr>
        <w:t xml:space="preserve">Día </w:t>
      </w:r>
      <w:r>
        <w:rPr>
          <w:szCs w:val="24"/>
        </w:rPr>
        <w:t>d</w:t>
      </w:r>
      <w:r w:rsidRPr="00BA7F85">
        <w:rPr>
          <w:szCs w:val="24"/>
        </w:rPr>
        <w:t xml:space="preserve">e </w:t>
      </w:r>
      <w:r>
        <w:rPr>
          <w:szCs w:val="24"/>
        </w:rPr>
        <w:t>l</w:t>
      </w:r>
      <w:r w:rsidRPr="00BA7F85">
        <w:rPr>
          <w:szCs w:val="24"/>
        </w:rPr>
        <w:t xml:space="preserve">a Conciencia Sobre </w:t>
      </w:r>
      <w:r>
        <w:rPr>
          <w:szCs w:val="24"/>
        </w:rPr>
        <w:t>l</w:t>
      </w:r>
      <w:r w:rsidRPr="00BA7F85">
        <w:rPr>
          <w:szCs w:val="24"/>
        </w:rPr>
        <w:t>a Sinestesia</w:t>
      </w:r>
      <w:r>
        <w:rPr>
          <w:szCs w:val="24"/>
        </w:rPr>
        <w:t>, y;</w:t>
      </w:r>
    </w:p>
    <w:p w:rsidR="006236AF" w:rsidRPr="00EB45EA" w:rsidRDefault="006236AF" w:rsidP="006236AF">
      <w:pPr>
        <w:tabs>
          <w:tab w:val="left" w:pos="709"/>
        </w:tabs>
        <w:autoSpaceDE w:val="0"/>
        <w:autoSpaceDN w:val="0"/>
        <w:adjustRightInd w:val="0"/>
        <w:rPr>
          <w:szCs w:val="24"/>
        </w:rPr>
      </w:pPr>
    </w:p>
    <w:p w:rsidR="006236AF" w:rsidRPr="00035ADF" w:rsidRDefault="006236AF" w:rsidP="006236AF">
      <w:pPr>
        <w:rPr>
          <w:lang w:val="es-MX"/>
        </w:rPr>
      </w:pPr>
    </w:p>
    <w:p w:rsidR="006236AF" w:rsidRDefault="006236AF" w:rsidP="006236AF">
      <w:pPr>
        <w:rPr>
          <w:lang w:val="es-MX"/>
        </w:rPr>
      </w:pPr>
      <w:r w:rsidRPr="00035ADF">
        <w:rPr>
          <w:lang w:val="es-MX"/>
        </w:rPr>
        <w:t>Considerando:</w:t>
      </w:r>
    </w:p>
    <w:p w:rsidR="006236AF" w:rsidRDefault="006236AF" w:rsidP="006236AF">
      <w:pPr>
        <w:rPr>
          <w:lang w:val="es-MX"/>
        </w:rPr>
      </w:pPr>
    </w:p>
    <w:p w:rsidR="006236AF" w:rsidRDefault="006236AF" w:rsidP="006236AF">
      <w:r>
        <w:rPr>
          <w:lang w:val="es-MX"/>
        </w:rPr>
        <w:t xml:space="preserve">            </w:t>
      </w:r>
      <w:r w:rsidRPr="002032D8">
        <w:rPr>
          <w:lang w:val="es-MX"/>
        </w:rPr>
        <w:t>Que</w:t>
      </w:r>
      <w:r>
        <w:rPr>
          <w:lang w:val="es-MX"/>
        </w:rPr>
        <w:t xml:space="preserve"> </w:t>
      </w:r>
      <w:r>
        <w:t xml:space="preserve">la sinestesia es una variación no patológica de la percepción humana. La primera descripción de este fenómeno la realizó el doctor </w:t>
      </w:r>
      <w:proofErr w:type="spellStart"/>
      <w:r>
        <w:t>Georg</w:t>
      </w:r>
      <w:proofErr w:type="spellEnd"/>
      <w:r>
        <w:t xml:space="preserve"> </w:t>
      </w:r>
      <w:proofErr w:type="spellStart"/>
      <w:r>
        <w:t>Tobias</w:t>
      </w:r>
      <w:proofErr w:type="spellEnd"/>
      <w:r>
        <w:t xml:space="preserve"> Ludwig </w:t>
      </w:r>
      <w:proofErr w:type="spellStart"/>
      <w:r>
        <w:t>Sachs</w:t>
      </w:r>
      <w:proofErr w:type="spellEnd"/>
      <w:r>
        <w:t xml:space="preserve"> en 1812. Las personas </w:t>
      </w:r>
      <w:proofErr w:type="spellStart"/>
      <w:r>
        <w:t>sinestésicas</w:t>
      </w:r>
      <w:proofErr w:type="spellEnd"/>
      <w:r>
        <w:t xml:space="preserve"> experimentan de forma automática e involuntaria la activación de una vía sensorial o cognitiva adicional en respuesta a estímulos concretos. Por ejemplo, pueden ver un color cuando escuchan una nota musical, o percibir tacto en su mejilla derecha cuando saborean un alimento. Cada persona con sinestesia percibe unos colores, olores, sonidos y sensaciones físicas concretas y diferentes. No se trata de una mezcla de sentidos, como a veces se afirma, sino que en la sinestesia existe una especificidad sensorial, de forma que la sinestesia es una sensación adicional: por caso, se percibe un sonido correctamente tal y como es, y además, un color; o tocar una superficie más suave puede ocasionarles a las personas con sinestesia sentir un sabor dulce, o asociar un color con un número o una letra. Hay quienes ven colores cuando escuchan música, mientras que otros pueden sentir literalmente un “sabor”. Estas experiencias no son meras asociaciones, sino percepciones;</w:t>
      </w:r>
    </w:p>
    <w:p w:rsidR="006236AF" w:rsidRDefault="006236AF" w:rsidP="006236AF"/>
    <w:p w:rsidR="006236AF" w:rsidRDefault="006236AF" w:rsidP="006236AF">
      <w:pPr>
        <w:ind w:firstLine="708"/>
      </w:pPr>
      <w:r>
        <w:t>Que según algunas explicaciones de carácter científico, la sinestesia se debe a una activación cruzada de áreas adyacentes del cerebro que procesan diferentes informaciones sensoriales. Este cruce podría explicarse por una falla en la conexión de los nervios entre las distintas áreas cuando el cerebro se desarrolla en el interior del útero. La sinestesia puede ocurrir incluso cuando uno de los sentidos está dañado. Por ejemplo, una persona que puede ver colores cuando escucha palabras puede seguir percibiendo estos colores aunque pierda la visión durante su vida;</w:t>
      </w:r>
    </w:p>
    <w:p w:rsidR="006236AF" w:rsidRDefault="006236AF" w:rsidP="006236AF"/>
    <w:p w:rsidR="006236AF" w:rsidRDefault="006236AF" w:rsidP="006236AF">
      <w:pPr>
        <w:ind w:firstLine="708"/>
      </w:pPr>
      <w:r>
        <w:t xml:space="preserve">Que la sinestesia tiene lugar con más frecuencia entre las personas con </w:t>
      </w:r>
      <w:proofErr w:type="spellStart"/>
      <w:r>
        <w:t>transtorno</w:t>
      </w:r>
      <w:proofErr w:type="spellEnd"/>
      <w:r>
        <w:t xml:space="preserve"> del espectro autista o TEA. Algunos tipos de epilepsia provocan también percepciones </w:t>
      </w:r>
      <w:proofErr w:type="spellStart"/>
      <w:r>
        <w:t>sinestésicas</w:t>
      </w:r>
      <w:proofErr w:type="spellEnd"/>
      <w:r>
        <w:t xml:space="preserve">. La estabilidad de asociaciones </w:t>
      </w:r>
      <w:proofErr w:type="spellStart"/>
      <w:r>
        <w:t>sinestésicas</w:t>
      </w:r>
      <w:proofErr w:type="spellEnd"/>
      <w:r>
        <w:t xml:space="preserve"> se mantiene aún cuando es evaluada tras lapsos prolongados de hasta un año;</w:t>
      </w:r>
    </w:p>
    <w:p w:rsidR="006236AF" w:rsidRDefault="006236AF" w:rsidP="006236AF"/>
    <w:p w:rsidR="006236AF" w:rsidRDefault="006236AF" w:rsidP="006236AF">
      <w:pPr>
        <w:ind w:firstLine="708"/>
      </w:pPr>
      <w:r>
        <w:t xml:space="preserve">Que los experimentos llevados a cabo demuestran que las percepciones de los </w:t>
      </w:r>
      <w:proofErr w:type="spellStart"/>
      <w:r>
        <w:t>sinéstetas</w:t>
      </w:r>
      <w:proofErr w:type="spellEnd"/>
      <w:r>
        <w:t xml:space="preserve"> se deben a un genuino efecto sensorial. Las investigaciones acerca de la incidencia de la sinestesia en las familias sugieren que se trata de un rasgo dominante ligado al cromosoma X. En el proceso de desarrollo se produce una “poda neuronal” debido al alto crecimiento de conexiones sinápticas, en la que cada conexión sináptica se va especializando ante estímulos de diferente índole. En el cerebro de una persona </w:t>
      </w:r>
      <w:proofErr w:type="spellStart"/>
      <w:r>
        <w:t>sinestésica</w:t>
      </w:r>
      <w:proofErr w:type="spellEnd"/>
      <w:r>
        <w:t xml:space="preserve">, la poda sináptica es menor o bien no se produce; los </w:t>
      </w:r>
      <w:proofErr w:type="spellStart"/>
      <w:r>
        <w:t>sinéstetas</w:t>
      </w:r>
      <w:proofErr w:type="spellEnd"/>
      <w:r>
        <w:t xml:space="preserve"> quizá mantienen intactos los enlaces sensoriales ante tareas sensoriales implicadas, lo que da lugar a este tipo de activación simultánea ante los distintos estímulos sensoriales, situación que explica que la sinestesia dure toda la vida; </w:t>
      </w:r>
    </w:p>
    <w:p w:rsidR="006236AF" w:rsidRDefault="006236AF" w:rsidP="006236AF"/>
    <w:p w:rsidR="006236AF" w:rsidRDefault="006236AF" w:rsidP="006236AF">
      <w:pPr>
        <w:ind w:firstLine="708"/>
      </w:pPr>
      <w:r>
        <w:t xml:space="preserve">Que se ha considerado que la percepción </w:t>
      </w:r>
      <w:proofErr w:type="spellStart"/>
      <w:r>
        <w:t>sinestésica</w:t>
      </w:r>
      <w:proofErr w:type="spellEnd"/>
      <w:r>
        <w:t xml:space="preserve"> es involuntaria y automática, localizable en el espacio, consistente y genérica, duradera y de una importancia emocional. Es posible que el fenómeno ocurra en una de cada 100 </w:t>
      </w:r>
      <w:proofErr w:type="gramStart"/>
      <w:r>
        <w:t>personas1 ,</w:t>
      </w:r>
      <w:proofErr w:type="gramEnd"/>
      <w:r>
        <w:t xml:space="preserve"> pero los </w:t>
      </w:r>
      <w:r>
        <w:lastRenderedPageBreak/>
        <w:t xml:space="preserve">datos no son seguros puesto que los </w:t>
      </w:r>
      <w:proofErr w:type="spellStart"/>
      <w:r>
        <w:t>sinéstetas</w:t>
      </w:r>
      <w:proofErr w:type="spellEnd"/>
      <w:r>
        <w:t xml:space="preserve"> no suelen reconocer que la mayoría de la gente no tiene esa capacidad. Algunos poseen una profunda sensibilidad musical, o son muy creativos, o poseen excelente memoria, aunque las capacidades extraordinarias no son una característica común a todos los </w:t>
      </w:r>
      <w:proofErr w:type="spellStart"/>
      <w:r>
        <w:t>sinéstetas</w:t>
      </w:r>
      <w:proofErr w:type="spellEnd"/>
      <w:r>
        <w:t>;</w:t>
      </w:r>
    </w:p>
    <w:p w:rsidR="006236AF" w:rsidRDefault="006236AF" w:rsidP="006236AF"/>
    <w:p w:rsidR="006236AF" w:rsidRDefault="006236AF" w:rsidP="006236AF">
      <w:pPr>
        <w:ind w:firstLine="708"/>
        <w:rPr>
          <w:lang w:val="es-MX"/>
        </w:rPr>
      </w:pPr>
      <w:r>
        <w:t>Que la sinestesia fue reconocida en distintos ámbitos como el arte, la gastronomía y los videojuegos, y en el ámbito internacional existe una campaña para declarar el 2 de julio como “Día de la Conciencia sobre la Sinestesia” (“</w:t>
      </w:r>
      <w:proofErr w:type="spellStart"/>
      <w:r>
        <w:t>Synesthesia</w:t>
      </w:r>
      <w:proofErr w:type="spellEnd"/>
      <w:r>
        <w:t xml:space="preserve"> </w:t>
      </w:r>
      <w:proofErr w:type="spellStart"/>
      <w:r>
        <w:t>Awareness</w:t>
      </w:r>
      <w:proofErr w:type="spellEnd"/>
      <w:r>
        <w:t xml:space="preserve"> </w:t>
      </w:r>
      <w:proofErr w:type="spellStart"/>
      <w:r>
        <w:t>Day</w:t>
      </w:r>
      <w:proofErr w:type="spellEnd"/>
      <w:r>
        <w:t>”)</w:t>
      </w:r>
      <w:proofErr w:type="gramStart"/>
      <w:r>
        <w:t>2 ,</w:t>
      </w:r>
      <w:proofErr w:type="gramEnd"/>
      <w:r>
        <w:t xml:space="preserve"> por lo que proponemos declarar este día en el ámbito de la Ciudad. Asimismo, reconocer institucionalmente la sinestesia permite una mayor toma de conciencia de este fenómeno, a la vez que potenciar la difusión de esta rica característica humana;</w:t>
      </w:r>
    </w:p>
    <w:p w:rsidR="006236AF" w:rsidRPr="00035ADF" w:rsidRDefault="006236AF" w:rsidP="006236AF">
      <w:pPr>
        <w:rPr>
          <w:lang w:val="es-MX"/>
        </w:rPr>
      </w:pPr>
    </w:p>
    <w:p w:rsidR="006236AF" w:rsidRPr="00035ADF" w:rsidRDefault="006236AF" w:rsidP="006236AF">
      <w:pPr>
        <w:rPr>
          <w:lang w:val="es-MX"/>
        </w:rPr>
      </w:pPr>
    </w:p>
    <w:p w:rsidR="006236AF" w:rsidRPr="002032D8" w:rsidRDefault="006236AF" w:rsidP="006236AF">
      <w:pPr>
        <w:rPr>
          <w:lang w:val="es-MX"/>
        </w:rPr>
      </w:pPr>
      <w:r w:rsidRPr="00035ADF">
        <w:rPr>
          <w:lang w:val="es-MX"/>
        </w:rPr>
        <w:tab/>
      </w:r>
      <w:r w:rsidRPr="002032D8">
        <w:rPr>
          <w:lang w:val="es-MX"/>
        </w:rPr>
        <w:t xml:space="preserve">Por lo expuesto, esta Comisión de </w:t>
      </w:r>
      <w:r>
        <w:rPr>
          <w:lang w:val="es-MX"/>
        </w:rPr>
        <w:t>Salud</w:t>
      </w:r>
      <w:r w:rsidRPr="002032D8">
        <w:rPr>
          <w:lang w:val="es-MX"/>
        </w:rPr>
        <w:t xml:space="preserve"> aconseja la </w:t>
      </w:r>
      <w:r w:rsidR="00A114E6">
        <w:rPr>
          <w:lang w:val="es-MX"/>
        </w:rPr>
        <w:t>sanción</w:t>
      </w:r>
      <w:r w:rsidRPr="002032D8">
        <w:rPr>
          <w:lang w:val="es-MX"/>
        </w:rPr>
        <w:t xml:space="preserve"> de la siguiente</w:t>
      </w:r>
    </w:p>
    <w:p w:rsidR="006236AF" w:rsidRPr="002032D8" w:rsidRDefault="006236AF" w:rsidP="006236AF">
      <w:pPr>
        <w:rPr>
          <w:lang w:val="es-MX"/>
        </w:rPr>
      </w:pPr>
    </w:p>
    <w:p w:rsidR="006236AF" w:rsidRPr="002032D8" w:rsidRDefault="006236AF" w:rsidP="006236AF">
      <w:pPr>
        <w:rPr>
          <w:lang w:val="es-MX"/>
        </w:rPr>
      </w:pPr>
    </w:p>
    <w:p w:rsidR="006236AF" w:rsidRDefault="00A114E6" w:rsidP="006236AF">
      <w:pPr>
        <w:jc w:val="center"/>
        <w:rPr>
          <w:b/>
          <w:lang w:val="es-MX"/>
        </w:rPr>
      </w:pPr>
      <w:bookmarkStart w:id="0" w:name="DDeclaración"/>
      <w:bookmarkEnd w:id="0"/>
      <w:r>
        <w:rPr>
          <w:b/>
          <w:lang w:val="es-MX"/>
        </w:rPr>
        <w:t>LEY</w:t>
      </w:r>
    </w:p>
    <w:p w:rsidR="006236AF" w:rsidRDefault="006236AF" w:rsidP="006236AF">
      <w:pPr>
        <w:jc w:val="center"/>
        <w:rPr>
          <w:b/>
          <w:lang w:val="es-MX"/>
        </w:rPr>
      </w:pPr>
    </w:p>
    <w:p w:rsidR="006236AF" w:rsidRPr="006236AF" w:rsidRDefault="006236AF" w:rsidP="006236AF">
      <w:pPr>
        <w:jc w:val="left"/>
        <w:rPr>
          <w:lang w:val="es-MX"/>
        </w:rPr>
      </w:pPr>
    </w:p>
    <w:p w:rsidR="006236AF" w:rsidRDefault="006236AF" w:rsidP="006236AF">
      <w:pPr>
        <w:jc w:val="left"/>
        <w:rPr>
          <w:lang w:val="es-MX"/>
        </w:rPr>
      </w:pPr>
      <w:r w:rsidRPr="006236AF">
        <w:rPr>
          <w:lang w:val="es-MX"/>
        </w:rPr>
        <w:t xml:space="preserve">Artículo 1°.- </w:t>
      </w:r>
      <w:r>
        <w:rPr>
          <w:lang w:val="es-MX"/>
        </w:rPr>
        <w:t xml:space="preserve">Se instituye en el ámbito de la Ciudad Autónoma de Buenos Aires </w:t>
      </w:r>
      <w:r w:rsidRPr="006236AF">
        <w:rPr>
          <w:lang w:val="es-MX"/>
        </w:rPr>
        <w:t>el 2 de julio como “Día de la Conciencia sobre la</w:t>
      </w:r>
      <w:r>
        <w:rPr>
          <w:lang w:val="es-MX"/>
        </w:rPr>
        <w:t xml:space="preserve"> </w:t>
      </w:r>
      <w:r w:rsidRPr="006236AF">
        <w:rPr>
          <w:lang w:val="es-MX"/>
        </w:rPr>
        <w:t>Sinestesia”.</w:t>
      </w:r>
    </w:p>
    <w:p w:rsidR="006236AF" w:rsidRPr="006236AF" w:rsidRDefault="006236AF" w:rsidP="006236AF">
      <w:pPr>
        <w:jc w:val="left"/>
        <w:rPr>
          <w:lang w:val="es-MX"/>
        </w:rPr>
      </w:pPr>
    </w:p>
    <w:p w:rsidR="006236AF" w:rsidRPr="006236AF" w:rsidRDefault="006236AF" w:rsidP="006236AF">
      <w:pPr>
        <w:jc w:val="left"/>
        <w:rPr>
          <w:lang w:val="es-MX"/>
        </w:rPr>
      </w:pPr>
      <w:r w:rsidRPr="006236AF">
        <w:rPr>
          <w:lang w:val="es-MX"/>
        </w:rPr>
        <w:t xml:space="preserve">Artículo 2°.- </w:t>
      </w:r>
      <w:proofErr w:type="spellStart"/>
      <w:r w:rsidRPr="006236AF">
        <w:rPr>
          <w:lang w:val="es-MX"/>
        </w:rPr>
        <w:t>Facúltase</w:t>
      </w:r>
      <w:proofErr w:type="spellEnd"/>
      <w:r w:rsidRPr="006236AF">
        <w:rPr>
          <w:lang w:val="es-MX"/>
        </w:rPr>
        <w:t xml:space="preserve"> al Poder Ejecutivo a desarrollar actividades en favor de la</w:t>
      </w:r>
    </w:p>
    <w:p w:rsidR="006236AF" w:rsidRPr="006236AF" w:rsidRDefault="006236AF" w:rsidP="006236AF">
      <w:pPr>
        <w:jc w:val="left"/>
        <w:rPr>
          <w:lang w:val="es-MX"/>
        </w:rPr>
      </w:pPr>
      <w:proofErr w:type="gramStart"/>
      <w:r w:rsidRPr="006236AF">
        <w:rPr>
          <w:lang w:val="es-MX"/>
        </w:rPr>
        <w:t>conciencia</w:t>
      </w:r>
      <w:proofErr w:type="gramEnd"/>
      <w:r w:rsidRPr="006236AF">
        <w:rPr>
          <w:lang w:val="es-MX"/>
        </w:rPr>
        <w:t xml:space="preserve"> y difusión de la sinestesia en el ámbito de la Ciudad Autónoma de Buenos</w:t>
      </w:r>
    </w:p>
    <w:p w:rsidR="006236AF" w:rsidRPr="006236AF" w:rsidRDefault="006236AF" w:rsidP="006236AF">
      <w:pPr>
        <w:jc w:val="left"/>
        <w:rPr>
          <w:lang w:val="es-MX"/>
        </w:rPr>
      </w:pPr>
      <w:r w:rsidRPr="006236AF">
        <w:rPr>
          <w:lang w:val="es-MX"/>
        </w:rPr>
        <w:t>Aires, sin que estas impliquen una erogación presupuestaria adicional en el Presupuesto</w:t>
      </w:r>
    </w:p>
    <w:p w:rsidR="006236AF" w:rsidRDefault="006236AF" w:rsidP="006236AF">
      <w:pPr>
        <w:jc w:val="left"/>
        <w:rPr>
          <w:lang w:val="es-MX"/>
        </w:rPr>
      </w:pPr>
      <w:proofErr w:type="gramStart"/>
      <w:r w:rsidRPr="006236AF">
        <w:rPr>
          <w:lang w:val="es-MX"/>
        </w:rPr>
        <w:t>en</w:t>
      </w:r>
      <w:proofErr w:type="gramEnd"/>
      <w:r w:rsidRPr="006236AF">
        <w:rPr>
          <w:lang w:val="es-MX"/>
        </w:rPr>
        <w:t xml:space="preserve"> curso y en los sucesivos.</w:t>
      </w:r>
    </w:p>
    <w:p w:rsidR="006236AF" w:rsidRPr="006236AF" w:rsidRDefault="006236AF" w:rsidP="006236AF">
      <w:pPr>
        <w:jc w:val="left"/>
        <w:rPr>
          <w:lang w:val="es-MX"/>
        </w:rPr>
      </w:pPr>
    </w:p>
    <w:p w:rsidR="006236AF" w:rsidRPr="006236AF" w:rsidRDefault="006236AF" w:rsidP="006236AF">
      <w:pPr>
        <w:jc w:val="left"/>
        <w:rPr>
          <w:lang w:val="es-MX"/>
        </w:rPr>
      </w:pPr>
      <w:r w:rsidRPr="006236AF">
        <w:rPr>
          <w:lang w:val="es-MX"/>
        </w:rPr>
        <w:t>Artículo 3°.- Comuníquese, etcétera.</w:t>
      </w:r>
    </w:p>
    <w:p w:rsidR="006236AF" w:rsidRPr="002032D8" w:rsidRDefault="006236AF" w:rsidP="006236AF">
      <w:pPr>
        <w:jc w:val="center"/>
        <w:rPr>
          <w:b/>
          <w:lang w:val="es-MX"/>
        </w:rPr>
      </w:pPr>
    </w:p>
    <w:p w:rsidR="006236AF" w:rsidRPr="002032D8" w:rsidRDefault="006236AF" w:rsidP="006236AF">
      <w:pPr>
        <w:rPr>
          <w:lang w:val="es-MX"/>
        </w:rPr>
      </w:pPr>
    </w:p>
    <w:p w:rsidR="006236AF" w:rsidRPr="002032D8" w:rsidRDefault="006236AF" w:rsidP="00623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20</w:t>
      </w:r>
      <w:r>
        <w:rPr>
          <w:lang w:val="es-MX"/>
        </w:rPr>
        <w:t>2</w:t>
      </w:r>
      <w:r w:rsidRPr="002032D8">
        <w:rPr>
          <w:lang w:val="es-MX"/>
        </w:rPr>
        <w:t>4</w:t>
      </w:r>
    </w:p>
    <w:p w:rsidR="006236AF" w:rsidRPr="004233DF" w:rsidRDefault="006236AF" w:rsidP="006236AF">
      <w:pPr>
        <w:rPr>
          <w:lang w:val="es-MX"/>
        </w:rPr>
      </w:pPr>
    </w:p>
    <w:p w:rsidR="006236AF" w:rsidRDefault="006236AF" w:rsidP="006236AF">
      <w:pPr>
        <w:rPr>
          <w:lang w:val="es-MX"/>
        </w:rPr>
      </w:pPr>
    </w:p>
    <w:p w:rsidR="006236AF" w:rsidRDefault="006236AF" w:rsidP="006236AF">
      <w:pPr>
        <w:rPr>
          <w:lang w:val="es-MX"/>
        </w:rPr>
      </w:pPr>
    </w:p>
    <w:p w:rsidR="006236AF" w:rsidRDefault="006236AF" w:rsidP="006236AF">
      <w:pPr>
        <w:rPr>
          <w:lang w:val="es-MX"/>
        </w:rPr>
      </w:pPr>
    </w:p>
    <w:p w:rsidR="006236AF" w:rsidRDefault="006236AF" w:rsidP="006236AF">
      <w:pPr>
        <w:rPr>
          <w:lang w:val="es-MX"/>
        </w:rPr>
      </w:pPr>
    </w:p>
    <w:p w:rsidR="006236AF" w:rsidRDefault="006236AF" w:rsidP="006236AF">
      <w:pPr>
        <w:tabs>
          <w:tab w:val="left" w:pos="5103"/>
        </w:tabs>
        <w:rPr>
          <w:lang w:val="es-MX"/>
        </w:rPr>
      </w:pPr>
      <w:r>
        <w:rPr>
          <w:lang w:val="es-MX"/>
        </w:rPr>
        <w:tab/>
      </w:r>
      <w:r w:rsidRPr="00FC16AB">
        <w:rPr>
          <w:lang w:val="es-MX"/>
        </w:rPr>
        <w:t>Del Gaiso, Juan Facundo</w:t>
      </w:r>
    </w:p>
    <w:p w:rsidR="006236AF" w:rsidRPr="00FC16AB" w:rsidRDefault="006236AF" w:rsidP="006236AF">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6236AF" w:rsidRDefault="006236AF" w:rsidP="006236AF">
      <w:pPr>
        <w:tabs>
          <w:tab w:val="left" w:pos="5103"/>
        </w:tabs>
        <w:spacing w:line="240" w:lineRule="atLeast"/>
        <w:rPr>
          <w:lang w:val="es-MX"/>
        </w:rPr>
      </w:pPr>
    </w:p>
    <w:p w:rsidR="006236AF" w:rsidRDefault="006236AF" w:rsidP="006236AF">
      <w:pPr>
        <w:tabs>
          <w:tab w:val="left" w:pos="5103"/>
        </w:tabs>
        <w:spacing w:line="240" w:lineRule="atLeast"/>
        <w:rPr>
          <w:lang w:val="es-MX"/>
        </w:rPr>
      </w:pPr>
    </w:p>
    <w:p w:rsidR="006236AF" w:rsidRDefault="006236AF" w:rsidP="006236AF">
      <w:pPr>
        <w:tabs>
          <w:tab w:val="left" w:pos="5103"/>
        </w:tabs>
        <w:spacing w:line="240" w:lineRule="atLeast"/>
        <w:rPr>
          <w:lang w:val="es-MX"/>
        </w:rPr>
      </w:pPr>
    </w:p>
    <w:p w:rsidR="006236AF" w:rsidRDefault="006236AF" w:rsidP="006236AF">
      <w:pPr>
        <w:tabs>
          <w:tab w:val="left" w:pos="5103"/>
        </w:tabs>
        <w:spacing w:line="240" w:lineRule="atLeast"/>
        <w:rPr>
          <w:lang w:val="es-MX"/>
        </w:rPr>
      </w:pPr>
    </w:p>
    <w:p w:rsidR="006236AF" w:rsidRDefault="006236AF" w:rsidP="006236AF">
      <w:pPr>
        <w:tabs>
          <w:tab w:val="left" w:pos="5103"/>
        </w:tabs>
        <w:spacing w:line="240" w:lineRule="atLeast"/>
        <w:rPr>
          <w:lang w:val="es-MX"/>
        </w:rPr>
      </w:pPr>
    </w:p>
    <w:p w:rsidR="006236AF" w:rsidRPr="00FC16AB" w:rsidRDefault="006236AF" w:rsidP="006236AF">
      <w:pPr>
        <w:tabs>
          <w:tab w:val="left" w:pos="5103"/>
        </w:tabs>
        <w:spacing w:line="240" w:lineRule="atLeast"/>
        <w:rPr>
          <w:lang w:val="es-MX"/>
        </w:rPr>
      </w:pPr>
      <w:r w:rsidRPr="00FC16AB">
        <w:rPr>
          <w:lang w:val="es-MX"/>
        </w:rPr>
        <w:t>O´Dezaille, Juan Pablo</w:t>
      </w:r>
      <w:r>
        <w:rPr>
          <w:lang w:val="es-MX"/>
        </w:rPr>
        <w:tab/>
      </w:r>
      <w:r w:rsidRPr="00FC16AB">
        <w:rPr>
          <w:lang w:val="es-MX"/>
        </w:rPr>
        <w:t>Rey Sandra Mónica</w:t>
      </w:r>
    </w:p>
    <w:p w:rsidR="006236AF" w:rsidRPr="000241CC" w:rsidRDefault="006236AF" w:rsidP="006236AF">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6236AF" w:rsidRPr="000241CC" w:rsidRDefault="006236AF" w:rsidP="006236AF">
      <w:pPr>
        <w:tabs>
          <w:tab w:val="left" w:pos="4962"/>
          <w:tab w:val="left" w:pos="5103"/>
        </w:tabs>
        <w:rPr>
          <w:szCs w:val="24"/>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r w:rsidRPr="00FC16AB">
        <w:rPr>
          <w:lang w:val="es-MX"/>
        </w:rPr>
        <w:t>Arenaza, Juan Pablo</w:t>
      </w:r>
      <w:r>
        <w:rPr>
          <w:lang w:val="es-MX"/>
        </w:rPr>
        <w:tab/>
      </w:r>
      <w:r w:rsidRPr="00FC16AB">
        <w:rPr>
          <w:lang w:val="es-MX"/>
        </w:rPr>
        <w:t>Daer, Maía</w:t>
      </w: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Pr="00FC16AB" w:rsidRDefault="006236AF" w:rsidP="006236AF">
      <w:pPr>
        <w:tabs>
          <w:tab w:val="left" w:pos="5103"/>
        </w:tabs>
        <w:rPr>
          <w:lang w:val="es-MX"/>
        </w:rPr>
      </w:pPr>
      <w:r w:rsidRPr="00FC16AB">
        <w:rPr>
          <w:lang w:val="es-MX"/>
        </w:rPr>
        <w:t>Donati Pablo Alejandro</w:t>
      </w:r>
      <w:r>
        <w:rPr>
          <w:lang w:val="es-MX"/>
        </w:rPr>
        <w:tab/>
      </w:r>
      <w:r w:rsidRPr="00FC16AB">
        <w:rPr>
          <w:lang w:val="es-MX"/>
        </w:rPr>
        <w:t>Fierro María Celeste</w:t>
      </w: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Pr="00FC16AB" w:rsidRDefault="006236AF" w:rsidP="006236AF">
      <w:pPr>
        <w:tabs>
          <w:tab w:val="left" w:pos="5103"/>
        </w:tabs>
        <w:rPr>
          <w:lang w:val="es-MX"/>
        </w:rPr>
      </w:pPr>
      <w:r w:rsidRPr="00FC16AB">
        <w:rPr>
          <w:lang w:val="es-MX"/>
        </w:rPr>
        <w:t>Iañez Berenice</w:t>
      </w:r>
      <w:r>
        <w:rPr>
          <w:lang w:val="es-MX"/>
        </w:rPr>
        <w:tab/>
      </w:r>
      <w:r w:rsidRPr="00FC16AB">
        <w:rPr>
          <w:lang w:val="es-MX"/>
        </w:rPr>
        <w:t>Lapeña Lucio</w:t>
      </w: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Pr="00FC16AB" w:rsidRDefault="006236AF" w:rsidP="006236AF">
      <w:pPr>
        <w:tabs>
          <w:tab w:val="left" w:pos="5103"/>
        </w:tabs>
        <w:rPr>
          <w:lang w:val="es-MX"/>
        </w:rPr>
      </w:pPr>
      <w:r w:rsidRPr="00FC16AB">
        <w:rPr>
          <w:lang w:val="es-MX"/>
        </w:rPr>
        <w:t>Loupias Juan Francisco</w:t>
      </w:r>
      <w:r>
        <w:rPr>
          <w:lang w:val="es-MX"/>
        </w:rPr>
        <w:tab/>
      </w:r>
      <w:r w:rsidRPr="00FC16AB">
        <w:rPr>
          <w:lang w:val="es-MX"/>
        </w:rPr>
        <w:t>Michielotto, Paola</w:t>
      </w: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Pr="00FC16AB" w:rsidRDefault="006236AF" w:rsidP="006236AF">
      <w:pPr>
        <w:tabs>
          <w:tab w:val="left" w:pos="5103"/>
        </w:tabs>
        <w:rPr>
          <w:lang w:val="es-MX"/>
        </w:rPr>
      </w:pPr>
      <w:r w:rsidRPr="00FC16AB">
        <w:rPr>
          <w:lang w:val="es-MX"/>
        </w:rPr>
        <w:t>Montenegro, Victoria</w:t>
      </w:r>
      <w:r>
        <w:rPr>
          <w:lang w:val="es-MX"/>
        </w:rPr>
        <w:tab/>
      </w:r>
      <w:r w:rsidRPr="00FC16AB">
        <w:rPr>
          <w:lang w:val="es-MX"/>
        </w:rPr>
        <w:t>Ocaña María Graciela</w:t>
      </w: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Default="006236AF" w:rsidP="006236AF">
      <w:pPr>
        <w:tabs>
          <w:tab w:val="left" w:pos="5103"/>
        </w:tabs>
        <w:rPr>
          <w:lang w:val="es-MX"/>
        </w:rPr>
      </w:pPr>
    </w:p>
    <w:p w:rsidR="006236AF" w:rsidRPr="004233DF" w:rsidRDefault="006236AF" w:rsidP="006236AF">
      <w:pPr>
        <w:tabs>
          <w:tab w:val="left" w:pos="5103"/>
        </w:tabs>
        <w:rPr>
          <w:lang w:val="es-MX"/>
        </w:rPr>
      </w:pPr>
      <w:r w:rsidRPr="00FC16AB">
        <w:rPr>
          <w:lang w:val="es-MX"/>
        </w:rPr>
        <w:t>Romero Claudio</w:t>
      </w:r>
      <w:r>
        <w:rPr>
          <w:lang w:val="es-MX"/>
        </w:rPr>
        <w:tab/>
      </w:r>
      <w:r w:rsidRPr="00FC16AB">
        <w:rPr>
          <w:lang w:val="es-MX"/>
        </w:rPr>
        <w:t>Solano  Gabriel</w:t>
      </w:r>
    </w:p>
    <w:p w:rsidR="006236AF" w:rsidRPr="00035ADF" w:rsidRDefault="006236AF" w:rsidP="006236AF">
      <w:pPr>
        <w:rPr>
          <w:lang w:val="es-MX"/>
        </w:rPr>
      </w:pPr>
    </w:p>
    <w:p w:rsidR="006236AF" w:rsidRPr="00035ADF" w:rsidRDefault="006236AF" w:rsidP="006236AF">
      <w:pPr>
        <w:rPr>
          <w:lang w:val="es-MX"/>
        </w:rPr>
      </w:pPr>
    </w:p>
    <w:p w:rsidR="000A1AD5" w:rsidRDefault="00E92C43"/>
    <w:sectPr w:rsidR="000A1AD5" w:rsidSect="005A3AA1">
      <w:headerReference w:type="default" r:id="rId6"/>
      <w:footerReference w:type="default" r:id="rId7"/>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C43" w:rsidRDefault="00E92C43" w:rsidP="006236AF">
      <w:r>
        <w:separator/>
      </w:r>
    </w:p>
  </w:endnote>
  <w:endnote w:type="continuationSeparator" w:id="0">
    <w:p w:rsidR="00E92C43" w:rsidRDefault="00E92C43" w:rsidP="006236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CF" w:rsidRPr="00035ADF" w:rsidRDefault="00E92C43">
    <w:pPr>
      <w:pStyle w:val="Piedepgina"/>
      <w:rPr>
        <w:color w:val="333333"/>
        <w:sz w:val="20"/>
      </w:rPr>
    </w:pPr>
    <w:bookmarkStart w:id="1" w:name="Despacho"/>
    <w:bookmarkEnd w:id="1"/>
  </w:p>
  <w:p w:rsidR="006427CF" w:rsidRPr="00035ADF" w:rsidRDefault="006236AF">
    <w:pPr>
      <w:pStyle w:val="Piedepgina"/>
      <w:rPr>
        <w:color w:val="333333"/>
        <w:sz w:val="20"/>
      </w:rPr>
    </w:pPr>
    <w:r w:rsidRPr="00035ADF">
      <w:rPr>
        <w:color w:val="333333"/>
        <w:sz w:val="20"/>
      </w:rPr>
      <w:t xml:space="preserve">Último cambio: </w:t>
    </w:r>
    <w:fldSimple w:instr=" SAVEDATE  \* MERGEFORMAT ">
      <w:r w:rsidR="00A114E6" w:rsidRPr="00A114E6">
        <w:rPr>
          <w:noProof/>
          <w:color w:val="333333"/>
          <w:sz w:val="20"/>
        </w:rPr>
        <w:t>1/8/2024 13:34:00</w:t>
      </w:r>
    </w:fldSimple>
    <w:r w:rsidRPr="00035ADF">
      <w:rPr>
        <w:color w:val="333333"/>
        <w:sz w:val="20"/>
      </w:rPr>
      <w:t xml:space="preserve">  -  Cantidad de caracteres: </w:t>
    </w:r>
    <w:fldSimple w:instr=" NUMCHARS  \* MERGEFORMAT ">
      <w:r w:rsidR="00A114E6" w:rsidRPr="00A114E6">
        <w:rPr>
          <w:noProof/>
          <w:color w:val="333333"/>
          <w:sz w:val="20"/>
        </w:rPr>
        <w:t>4518</w:t>
      </w:r>
    </w:fldSimple>
    <w:r w:rsidRPr="00035ADF">
      <w:rPr>
        <w:color w:val="333333"/>
        <w:sz w:val="20"/>
      </w:rPr>
      <w:t xml:space="preserve"> - Cantidad de palabras: </w:t>
    </w:r>
    <w:fldSimple w:instr=" NUMWORDS  \* MERGEFORMAT ">
      <w:r w:rsidR="00A114E6" w:rsidRPr="00A114E6">
        <w:rPr>
          <w:noProof/>
          <w:color w:val="333333"/>
          <w:sz w:val="20"/>
        </w:rPr>
        <w:t>829</w:t>
      </w:r>
    </w:fldSimple>
  </w:p>
  <w:p w:rsidR="006427CF" w:rsidRPr="00035ADF" w:rsidRDefault="006236AF" w:rsidP="00B05649">
    <w:pPr>
      <w:pStyle w:val="Piedepgina"/>
      <w:tabs>
        <w:tab w:val="left" w:pos="3565"/>
      </w:tabs>
      <w:rPr>
        <w:rStyle w:val="Nmerodepgina"/>
        <w:color w:val="333333"/>
      </w:rPr>
    </w:pPr>
    <w:r w:rsidRPr="00035ADF">
      <w:rPr>
        <w:color w:val="333333"/>
        <w:sz w:val="20"/>
      </w:rPr>
      <w:tab/>
      <w:t>Pág.</w:t>
    </w:r>
    <w:r w:rsidRPr="00035ADF">
      <w:rPr>
        <w:color w:val="333333"/>
      </w:rPr>
      <w:t xml:space="preserve"> </w:t>
    </w:r>
    <w:r w:rsidR="00D831EA" w:rsidRPr="00035ADF">
      <w:rPr>
        <w:rStyle w:val="Nmerodepgina"/>
        <w:color w:val="333333"/>
      </w:rPr>
      <w:fldChar w:fldCharType="begin"/>
    </w:r>
    <w:r w:rsidRPr="00035ADF">
      <w:rPr>
        <w:rStyle w:val="Nmerodepgina"/>
        <w:color w:val="333333"/>
      </w:rPr>
      <w:instrText xml:space="preserve"> PAGE </w:instrText>
    </w:r>
    <w:r w:rsidR="00D831EA" w:rsidRPr="00035ADF">
      <w:rPr>
        <w:rStyle w:val="Nmerodepgina"/>
        <w:color w:val="333333"/>
      </w:rPr>
      <w:fldChar w:fldCharType="separate"/>
    </w:r>
    <w:r w:rsidR="0096373A">
      <w:rPr>
        <w:rStyle w:val="Nmerodepgina"/>
        <w:noProof/>
        <w:color w:val="333333"/>
      </w:rPr>
      <w:t>2</w:t>
    </w:r>
    <w:r w:rsidR="00D831EA" w:rsidRPr="00035ADF">
      <w:rPr>
        <w:rStyle w:val="Nmerodepgina"/>
        <w:color w:val="333333"/>
      </w:rPr>
      <w:fldChar w:fldCharType="end"/>
    </w:r>
    <w:r w:rsidRPr="00035ADF">
      <w:rPr>
        <w:rStyle w:val="Nmerodepgina"/>
        <w:color w:val="333333"/>
      </w:rPr>
      <w:t>/</w:t>
    </w:r>
    <w:fldSimple w:instr=" NUMPAGES  \* MERGEFORMAT ">
      <w:r w:rsidR="0096373A" w:rsidRPr="0096373A">
        <w:rPr>
          <w:rStyle w:val="Nmerodepgina"/>
          <w:noProof/>
          <w:color w:val="333333"/>
        </w:rPr>
        <w:t>3</w:t>
      </w:r>
    </w:fldSimple>
    <w:r w:rsidRPr="00035ADF">
      <w:rPr>
        <w:rStyle w:val="Nmerodepgina"/>
        <w:color w:val="333333"/>
      </w:rPr>
      <w:t xml:space="preserve"> </w:t>
    </w:r>
  </w:p>
  <w:p w:rsidR="006427CF" w:rsidRPr="00035ADF" w:rsidRDefault="00E92C43">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C43" w:rsidRDefault="00E92C43" w:rsidP="006236AF">
      <w:r>
        <w:separator/>
      </w:r>
    </w:p>
  </w:footnote>
  <w:footnote w:type="continuationSeparator" w:id="0">
    <w:p w:rsidR="00E92C43" w:rsidRDefault="00E92C43" w:rsidP="006236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CF" w:rsidRDefault="006236AF" w:rsidP="00035ADF">
    <w:pPr>
      <w:pStyle w:val="Encabezado"/>
      <w:ind w:left="-2410" w:firstLine="850"/>
      <w:jc w:val="right"/>
      <w:rPr>
        <w:noProof/>
        <w:lang w:val="es-ES"/>
      </w:rPr>
    </w:pPr>
    <w:r>
      <w:rPr>
        <w:noProof/>
        <w:lang w:val="es-ES"/>
      </w:rPr>
      <w:t>Referencia: Expediente N° 1753-D-2024</w:t>
    </w:r>
  </w:p>
  <w:p w:rsidR="006427CF" w:rsidRDefault="00E92C43" w:rsidP="0033168A">
    <w:pPr>
      <w:pStyle w:val="Encabezado"/>
      <w:ind w:left="-2410" w:firstLine="850"/>
      <w:jc w:val="center"/>
      <w:rPr>
        <w:noProof/>
        <w:lang w:val="es-ES"/>
      </w:rPr>
    </w:pPr>
  </w:p>
  <w:p w:rsidR="006427CF" w:rsidRDefault="00623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7"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6427CF" w:rsidRDefault="00E92C43"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236AF"/>
    <w:rsid w:val="0005572B"/>
    <w:rsid w:val="002874FB"/>
    <w:rsid w:val="00432013"/>
    <w:rsid w:val="00504006"/>
    <w:rsid w:val="006236AF"/>
    <w:rsid w:val="0096373A"/>
    <w:rsid w:val="00A114E6"/>
    <w:rsid w:val="00D831EA"/>
    <w:rsid w:val="00DC17E8"/>
    <w:rsid w:val="00E92C4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6AF"/>
    <w:pPr>
      <w:spacing w:after="0" w:line="240" w:lineRule="auto"/>
      <w:jc w:val="both"/>
    </w:pPr>
    <w:rPr>
      <w:rFonts w:ascii="Times New Roman" w:eastAsia="Times New Roman" w:hAnsi="Times New Roman" w:cs="Times New Roman"/>
      <w:sz w:val="24"/>
      <w:szCs w:val="20"/>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36AF"/>
    <w:pPr>
      <w:tabs>
        <w:tab w:val="center" w:pos="4419"/>
        <w:tab w:val="right" w:pos="8838"/>
      </w:tabs>
    </w:pPr>
  </w:style>
  <w:style w:type="character" w:customStyle="1" w:styleId="EncabezadoCar">
    <w:name w:val="Encabezado Car"/>
    <w:basedOn w:val="Fuentedeprrafopredeter"/>
    <w:link w:val="Encabezado"/>
    <w:uiPriority w:val="99"/>
    <w:rsid w:val="006236AF"/>
    <w:rPr>
      <w:rFonts w:ascii="Times New Roman" w:eastAsia="Times New Roman" w:hAnsi="Times New Roman" w:cs="Times New Roman"/>
      <w:sz w:val="24"/>
      <w:szCs w:val="20"/>
      <w:lang w:val="es-AR" w:eastAsia="es-ES"/>
    </w:rPr>
  </w:style>
  <w:style w:type="paragraph" w:styleId="Piedepgina">
    <w:name w:val="footer"/>
    <w:basedOn w:val="Normal"/>
    <w:link w:val="PiedepginaCar"/>
    <w:rsid w:val="006236AF"/>
    <w:pPr>
      <w:tabs>
        <w:tab w:val="center" w:pos="4419"/>
        <w:tab w:val="right" w:pos="8838"/>
      </w:tabs>
    </w:pPr>
  </w:style>
  <w:style w:type="character" w:customStyle="1" w:styleId="PiedepginaCar">
    <w:name w:val="Pie de página Car"/>
    <w:basedOn w:val="Fuentedeprrafopredeter"/>
    <w:link w:val="Piedepgina"/>
    <w:rsid w:val="006236AF"/>
    <w:rPr>
      <w:rFonts w:ascii="Times New Roman" w:eastAsia="Times New Roman" w:hAnsi="Times New Roman" w:cs="Times New Roman"/>
      <w:sz w:val="24"/>
      <w:szCs w:val="20"/>
      <w:lang w:val="es-AR" w:eastAsia="es-ES"/>
    </w:rPr>
  </w:style>
  <w:style w:type="character" w:styleId="Nmerodepgina">
    <w:name w:val="page number"/>
    <w:basedOn w:val="Fuentedeprrafopredeter"/>
    <w:rsid w:val="006236AF"/>
  </w:style>
  <w:style w:type="paragraph" w:styleId="Textodeglobo">
    <w:name w:val="Balloon Text"/>
    <w:basedOn w:val="Normal"/>
    <w:link w:val="TextodegloboCar"/>
    <w:uiPriority w:val="99"/>
    <w:semiHidden/>
    <w:unhideWhenUsed/>
    <w:rsid w:val="006236AF"/>
    <w:rPr>
      <w:rFonts w:ascii="Tahoma" w:hAnsi="Tahoma" w:cs="Tahoma"/>
      <w:sz w:val="16"/>
      <w:szCs w:val="16"/>
    </w:rPr>
  </w:style>
  <w:style w:type="character" w:customStyle="1" w:styleId="TextodegloboCar">
    <w:name w:val="Texto de globo Car"/>
    <w:basedOn w:val="Fuentedeprrafopredeter"/>
    <w:link w:val="Textodeglobo"/>
    <w:uiPriority w:val="99"/>
    <w:semiHidden/>
    <w:rsid w:val="006236AF"/>
    <w:rPr>
      <w:rFonts w:ascii="Tahoma" w:eastAsia="Times New Roman" w:hAnsi="Tahoma" w:cs="Tahoma"/>
      <w:sz w:val="16"/>
      <w:szCs w:val="16"/>
      <w:lang w:val="es-AR"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4518</Characters>
  <Application>Microsoft Office Word</Application>
  <DocSecurity>0</DocSecurity>
  <Lines>142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tocoradazzi</dc:creator>
  <cp:lastModifiedBy>sipaz</cp:lastModifiedBy>
  <cp:revision>2</cp:revision>
  <cp:lastPrinted>2024-08-02T18:47:00Z</cp:lastPrinted>
  <dcterms:created xsi:type="dcterms:W3CDTF">2024-08-02T19:34:00Z</dcterms:created>
  <dcterms:modified xsi:type="dcterms:W3CDTF">2024-08-02T19:34:00Z</dcterms:modified>
</cp:coreProperties>
</file>