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b/>
          <w:szCs w:val="24"/>
          <w:lang w:val="es-ES"/>
        </w:rPr>
      </w:pPr>
      <w:r w:rsidRPr="009D6D19">
        <w:rPr>
          <w:rFonts w:ascii="Arial" w:hAnsi="Arial" w:cs="Arial"/>
          <w:b/>
          <w:szCs w:val="24"/>
          <w:lang w:val="es-ES"/>
        </w:rPr>
        <w:t>Legislatura de la Ciudad Autónoma de Buenos Aires</w:t>
      </w:r>
    </w:p>
    <w:p w:rsidR="009D6D19" w:rsidRPr="009D6D19" w:rsidRDefault="009D6D19" w:rsidP="009D6D19">
      <w:pPr>
        <w:rPr>
          <w:rFonts w:ascii="Arial" w:hAnsi="Arial" w:cs="Arial"/>
          <w:b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b/>
          <w:szCs w:val="24"/>
          <w:lang w:val="es-ES"/>
        </w:rPr>
      </w:pPr>
      <w:r w:rsidRPr="009D6D19">
        <w:rPr>
          <w:rFonts w:ascii="Arial" w:hAnsi="Arial" w:cs="Arial"/>
          <w:b/>
          <w:szCs w:val="24"/>
          <w:lang w:val="es-ES"/>
        </w:rPr>
        <w:t xml:space="preserve">Visto: 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 xml:space="preserve">           El expediente 1898-D-2024, </w:t>
      </w:r>
      <w:r w:rsidRPr="009D6D19">
        <w:rPr>
          <w:rFonts w:ascii="Arial" w:hAnsi="Arial" w:cs="Arial"/>
          <w:szCs w:val="24"/>
          <w:lang w:val="es-ES"/>
        </w:rPr>
        <w:tab/>
        <w:t>de autoría del Diputado, Donati, Pablo Alejandro; y de las/los Diputados/as, Grillo, Alejandro Omar; Loupias, Juan Francisco; Ocaña, María Graciela; Romero, Claudio Ariel; proyecto de Ley a los efectos de establecer “La Semana para la Concientización y Prevención de la Discapacidad Visual / Patologías de Baja Visión”, y;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b/>
          <w:szCs w:val="24"/>
          <w:lang w:val="es-ES"/>
        </w:rPr>
      </w:pPr>
      <w:r w:rsidRPr="009D6D19">
        <w:rPr>
          <w:rFonts w:ascii="Arial" w:hAnsi="Arial" w:cs="Arial"/>
          <w:b/>
          <w:szCs w:val="24"/>
          <w:lang w:val="es-ES"/>
        </w:rPr>
        <w:t>Considerando: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 xml:space="preserve">            Que según el Consejo Argentino de Oftalmología, se considera que un paciente tiene baja visión cuando luego de haberse tratado y corregido su patología, su agudeza visual es menor a 0,3 en el mejor de los ojos, o su campo visual es inferior a 20 grados. Es decir, es una condición que no se cura e implica la pérdida de la visión del paciente, quien no puede realizar actividades de la vida cotidiana como leer, manejar, ver la televisión. A quien tiene baja visión aún le queda un resto visual útil que le permite disfrutar de una vida autónoma;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 xml:space="preserve">Que las personas con estas discapacidades se encuentran comprendidas dentro de la denominada “Ceguera Legal”, amparadas por la Disposición 2230/2011 del Servicio Nacional de Rehabilitación, donde se establecen los requisitos para acceder a la certificación de su discapacidad; 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 xml:space="preserve">Que cuando hablamos de una persona con ceguera legal, hablamos de una persona cuya agudeza visual (con gafas o lentes de contacto, si las necesita) es diez veces menor de lo normal en su mejor ojo, o cuando el campo visual, sin tener en cuenta la agudeza, está restringido a un ángulo de 10 grados o menor. Puede ver personas, pero tiene severas dificultades para diferenciar ciertos objetos, por ejemplo, con los que pueda tropezar al desplazarse, o veredas en mal estado. Cabe aclarar que no se trata de personas con “ceguera total” que han sufrido una pérdida completa de visión o que solo es capaz de distinguir luces y sombras; 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 xml:space="preserve">Que previamente, la Ley 25.682 estableció el uso de bastones verdes para las personas de baja visión; 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>Que esta idea receptada por la norma, fue creada e impulsada por la Profesora Catherine Mayo. Por su parte la OMS (Organización Mundial de la Salud) afirma que el 80% del total de casos de discapacidad visual se pueden curar o evitar por medio de la prevención, la revisión y el cuidado desde las etapas incipientes de la enfermedad;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 xml:space="preserve">Que las causas que originan baja visión pueden ser múltiples, pero en su mayoría se trata de enfermedades oculares: 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 xml:space="preserve">Degeneración Macular. 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 xml:space="preserve">• Glaucoma. 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 xml:space="preserve">• Retinopatía Diabética. 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 xml:space="preserve">• </w:t>
      </w:r>
      <w:proofErr w:type="spellStart"/>
      <w:r w:rsidRPr="009D6D19">
        <w:rPr>
          <w:rFonts w:ascii="Arial" w:hAnsi="Arial" w:cs="Arial"/>
          <w:szCs w:val="24"/>
          <w:lang w:val="es-ES"/>
        </w:rPr>
        <w:t>Retinosis</w:t>
      </w:r>
      <w:proofErr w:type="spellEnd"/>
      <w:r w:rsidRPr="009D6D19">
        <w:rPr>
          <w:rFonts w:ascii="Arial" w:hAnsi="Arial" w:cs="Arial"/>
          <w:szCs w:val="24"/>
          <w:lang w:val="es-ES"/>
        </w:rPr>
        <w:t xml:space="preserve"> Pigmentaria. 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 xml:space="preserve">• Miopía Magna 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lastRenderedPageBreak/>
        <w:t xml:space="preserve">Pero también lo pueden ocasionar: 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 xml:space="preserve">• Accidentes. 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 xml:space="preserve">• Lesiones neurológicas. 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 xml:space="preserve">• Malformaciones congénitas. 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 xml:space="preserve">• Enfermedades infecciosas, 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 xml:space="preserve">Que consecuencia de ello, son muchos los síntomas que de forma unitaria o mixta producen baja visión: 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 xml:space="preserve">• Visión borrosa. 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 xml:space="preserve">• Visión parcheada. 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 xml:space="preserve">• Deslumbramiento. 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 xml:space="preserve">• Ceguera nocturna. 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 xml:space="preserve">• Visión en túnel. 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 xml:space="preserve">• Pérdida de contraste. 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 xml:space="preserve">• Alteración en la visión de los colores 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>Que pese a todos los aportes normativos con sus progresos y más allá de que se ha ampliado el uso de bastones de diferentes colores, aún no se encuentra muy extendida y difundida su utilización;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ab/>
        <w:t>Por lo expuesto, esta Comisión de Comunicación Social, Medios de Comunicación y Tecnologías de la Comunicación aconseja la aprobación de la siguiente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jc w:val="center"/>
        <w:rPr>
          <w:rFonts w:ascii="Arial" w:hAnsi="Arial" w:cs="Arial"/>
          <w:b/>
          <w:szCs w:val="24"/>
          <w:lang w:val="es-ES"/>
        </w:rPr>
      </w:pPr>
      <w:r w:rsidRPr="009D6D19">
        <w:rPr>
          <w:rFonts w:ascii="Arial" w:hAnsi="Arial" w:cs="Arial"/>
          <w:b/>
          <w:szCs w:val="24"/>
          <w:lang w:val="es-ES"/>
        </w:rPr>
        <w:t>LEY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>Artículo 1°.- Se instituye en la Ciudad Autónoma de Buenos Aires la última semana del mes de Septiembre de cada año, como la "semana para la concientización y Prevención de la discapacidad visual/patologías" en adhesión al día 26 de Septiembre, declarado Día Mundial del Bastón Verde.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>Artículo 2°.- Son objetivos de la Semana para la prevención y concientización de la discapacidad visual / patologías de baja visón: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>a. Mejorar el acceso a la información, tratamiento, atención sanitaria y apoyo a las personas con baja visión.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>b. Favorecer la organización y el trabajo en red con las organizaciones de personas de baja visión y el resto del sistema sanitario de la Ciudad Autónoma de Buenos Aires.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>c. Sensibilizar a la sociedad y a las instituciones gubernamentales acerca de la problemática de las personas con baja visión.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>d. Impulsar la realización de investigaciones, estudios y políticas públicas relacionados con la temática.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>Artículo 3°.- El Poder Ejecutivo difundirá durante esa semana la Legislación Nacional y local, toda información vinculada sobre la temática, así como todos aquellos recursos existentes en el Gobierno de la Ciudad Autónoma de Buenos Aires para la contención y apoyo de los pacientes.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>Artículo 4°.- Comuníquese, etc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lastRenderedPageBreak/>
        <w:t>Sala de la Comisión 16 de septiembre de 2024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ab/>
      </w:r>
      <w:r>
        <w:rPr>
          <w:rFonts w:ascii="Arial" w:hAnsi="Arial" w:cs="Arial"/>
          <w:szCs w:val="24"/>
          <w:lang w:val="es-ES"/>
        </w:rPr>
        <w:tab/>
      </w:r>
      <w:r>
        <w:rPr>
          <w:rFonts w:ascii="Arial" w:hAnsi="Arial" w:cs="Arial"/>
          <w:szCs w:val="24"/>
          <w:lang w:val="es-ES"/>
        </w:rPr>
        <w:tab/>
      </w:r>
      <w:r>
        <w:rPr>
          <w:rFonts w:ascii="Arial" w:hAnsi="Arial" w:cs="Arial"/>
          <w:szCs w:val="24"/>
          <w:lang w:val="es-ES"/>
        </w:rPr>
        <w:tab/>
      </w:r>
      <w:r>
        <w:rPr>
          <w:rFonts w:ascii="Arial" w:hAnsi="Arial" w:cs="Arial"/>
          <w:szCs w:val="24"/>
          <w:lang w:val="es-ES"/>
        </w:rPr>
        <w:tab/>
      </w:r>
      <w:r>
        <w:rPr>
          <w:rFonts w:ascii="Arial" w:hAnsi="Arial" w:cs="Arial"/>
          <w:szCs w:val="24"/>
          <w:lang w:val="es-ES"/>
        </w:rPr>
        <w:tab/>
      </w:r>
      <w:r>
        <w:rPr>
          <w:rFonts w:ascii="Arial" w:hAnsi="Arial" w:cs="Arial"/>
          <w:szCs w:val="24"/>
          <w:lang w:val="es-ES"/>
        </w:rPr>
        <w:tab/>
      </w:r>
      <w:r w:rsidRPr="009D6D19">
        <w:rPr>
          <w:rFonts w:ascii="Arial" w:hAnsi="Arial" w:cs="Arial"/>
          <w:szCs w:val="24"/>
          <w:lang w:val="es-ES"/>
        </w:rPr>
        <w:tab/>
        <w:t>Vitali, Franco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ab/>
      </w:r>
      <w:r w:rsidRPr="009D6D19">
        <w:rPr>
          <w:rFonts w:ascii="Arial" w:hAnsi="Arial" w:cs="Arial"/>
          <w:szCs w:val="24"/>
          <w:lang w:val="es-ES"/>
        </w:rPr>
        <w:tab/>
      </w:r>
      <w:r>
        <w:rPr>
          <w:rFonts w:ascii="Arial" w:hAnsi="Arial" w:cs="Arial"/>
          <w:szCs w:val="24"/>
          <w:lang w:val="es-ES"/>
        </w:rPr>
        <w:tab/>
      </w:r>
      <w:r>
        <w:rPr>
          <w:rFonts w:ascii="Arial" w:hAnsi="Arial" w:cs="Arial"/>
          <w:szCs w:val="24"/>
          <w:lang w:val="es-ES"/>
        </w:rPr>
        <w:tab/>
      </w:r>
      <w:r w:rsidRPr="009D6D19">
        <w:rPr>
          <w:rFonts w:ascii="Arial" w:hAnsi="Arial" w:cs="Arial"/>
          <w:szCs w:val="24"/>
          <w:lang w:val="es-ES"/>
        </w:rPr>
        <w:tab/>
      </w:r>
      <w:r w:rsidRPr="009D6D19">
        <w:rPr>
          <w:rFonts w:ascii="Arial" w:hAnsi="Arial" w:cs="Arial"/>
          <w:szCs w:val="24"/>
          <w:lang w:val="es-ES"/>
        </w:rPr>
        <w:tab/>
      </w:r>
      <w:r w:rsidRPr="009D6D19">
        <w:rPr>
          <w:rFonts w:ascii="Arial" w:hAnsi="Arial" w:cs="Arial"/>
          <w:szCs w:val="24"/>
          <w:lang w:val="es-ES"/>
        </w:rPr>
        <w:tab/>
      </w:r>
      <w:r w:rsidRPr="009D6D19">
        <w:rPr>
          <w:rFonts w:ascii="Arial" w:hAnsi="Arial" w:cs="Arial"/>
          <w:szCs w:val="24"/>
          <w:lang w:val="es-ES"/>
        </w:rPr>
        <w:tab/>
      </w:r>
      <w:r>
        <w:rPr>
          <w:rFonts w:ascii="Arial" w:hAnsi="Arial" w:cs="Arial"/>
          <w:szCs w:val="24"/>
          <w:lang w:val="es-ES"/>
        </w:rPr>
        <w:t xml:space="preserve">  </w:t>
      </w:r>
      <w:r w:rsidRPr="009D6D19">
        <w:rPr>
          <w:rFonts w:ascii="Arial" w:hAnsi="Arial" w:cs="Arial"/>
          <w:szCs w:val="24"/>
          <w:lang w:val="es-ES"/>
        </w:rPr>
        <w:t>Presidente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 xml:space="preserve">      Imas, Silvia</w:t>
      </w:r>
      <w:r w:rsidRPr="009D6D19">
        <w:rPr>
          <w:rFonts w:ascii="Arial" w:hAnsi="Arial" w:cs="Arial"/>
          <w:szCs w:val="24"/>
          <w:lang w:val="es-ES"/>
        </w:rPr>
        <w:tab/>
      </w:r>
      <w:r w:rsidRPr="009D6D19">
        <w:rPr>
          <w:rFonts w:ascii="Arial" w:hAnsi="Arial" w:cs="Arial"/>
          <w:szCs w:val="24"/>
          <w:lang w:val="es-ES"/>
        </w:rPr>
        <w:tab/>
      </w:r>
      <w:r w:rsidRPr="009D6D19">
        <w:rPr>
          <w:rFonts w:ascii="Arial" w:hAnsi="Arial" w:cs="Arial"/>
          <w:szCs w:val="24"/>
          <w:lang w:val="es-ES"/>
        </w:rPr>
        <w:tab/>
        <w:t xml:space="preserve">                            Méndez, María Sol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 xml:space="preserve">    Vicepresidente 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 xml:space="preserve">      Daer, Maia</w:t>
      </w:r>
      <w:r w:rsidRPr="009D6D19">
        <w:rPr>
          <w:rFonts w:ascii="Arial" w:hAnsi="Arial" w:cs="Arial"/>
          <w:szCs w:val="24"/>
          <w:lang w:val="es-ES"/>
        </w:rPr>
        <w:tab/>
      </w:r>
      <w:r w:rsidRPr="009D6D19">
        <w:rPr>
          <w:rFonts w:ascii="Arial" w:hAnsi="Arial" w:cs="Arial"/>
          <w:szCs w:val="24"/>
          <w:lang w:val="es-ES"/>
        </w:rPr>
        <w:tab/>
      </w:r>
      <w:r w:rsidRPr="009D6D19">
        <w:rPr>
          <w:rFonts w:ascii="Arial" w:hAnsi="Arial" w:cs="Arial"/>
          <w:szCs w:val="24"/>
          <w:lang w:val="es-ES"/>
        </w:rPr>
        <w:tab/>
      </w:r>
      <w:r w:rsidRPr="009D6D19">
        <w:rPr>
          <w:rFonts w:ascii="Arial" w:hAnsi="Arial" w:cs="Arial"/>
          <w:szCs w:val="24"/>
          <w:lang w:val="es-ES"/>
        </w:rPr>
        <w:tab/>
      </w:r>
      <w:r w:rsidRPr="009D6D19">
        <w:rPr>
          <w:rFonts w:ascii="Arial" w:hAnsi="Arial" w:cs="Arial"/>
          <w:szCs w:val="24"/>
          <w:lang w:val="es-ES"/>
        </w:rPr>
        <w:tab/>
        <w:t xml:space="preserve">      Loupias, Francisco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  <w:r w:rsidRPr="009D6D19">
        <w:rPr>
          <w:rFonts w:ascii="Arial" w:hAnsi="Arial" w:cs="Arial"/>
          <w:szCs w:val="24"/>
          <w:lang w:val="es-ES"/>
        </w:rPr>
        <w:t>Ferrario, Emmanuel</w:t>
      </w:r>
      <w:r w:rsidRPr="009D6D19">
        <w:rPr>
          <w:rFonts w:ascii="Arial" w:hAnsi="Arial" w:cs="Arial"/>
          <w:szCs w:val="24"/>
          <w:lang w:val="es-ES"/>
        </w:rPr>
        <w:tab/>
      </w:r>
      <w:r w:rsidRPr="009D6D19">
        <w:rPr>
          <w:rFonts w:ascii="Arial" w:hAnsi="Arial" w:cs="Arial"/>
          <w:szCs w:val="24"/>
          <w:lang w:val="es-ES"/>
        </w:rPr>
        <w:tab/>
      </w:r>
      <w:r w:rsidRPr="009D6D19">
        <w:rPr>
          <w:rFonts w:ascii="Arial" w:hAnsi="Arial" w:cs="Arial"/>
          <w:szCs w:val="24"/>
          <w:lang w:val="es-ES"/>
        </w:rPr>
        <w:tab/>
        <w:t xml:space="preserve">                            Montenegro, Lucía</w:t>
      </w: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9D6D19" w:rsidRPr="009D6D19" w:rsidRDefault="009D6D19" w:rsidP="009D6D19">
      <w:pPr>
        <w:rPr>
          <w:rFonts w:ascii="Arial" w:hAnsi="Arial" w:cs="Arial"/>
          <w:szCs w:val="24"/>
          <w:lang w:val="es-ES"/>
        </w:rPr>
      </w:pPr>
    </w:p>
    <w:p w:rsidR="000450BA" w:rsidRPr="009D6D19" w:rsidRDefault="000450BA" w:rsidP="009D6D19">
      <w:pPr>
        <w:rPr>
          <w:szCs w:val="24"/>
        </w:rPr>
      </w:pPr>
    </w:p>
    <w:sectPr w:rsidR="000450BA" w:rsidRPr="009D6D19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3F0B" w:rsidRDefault="00593F0B">
      <w:r>
        <w:separator/>
      </w:r>
    </w:p>
  </w:endnote>
  <w:endnote w:type="continuationSeparator" w:id="0">
    <w:p w:rsidR="00593F0B" w:rsidRDefault="00593F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FB359E" w:rsidRPr="00FB359E">
        <w:rPr>
          <w:noProof/>
          <w:color w:val="333333"/>
          <w:sz w:val="20"/>
        </w:rPr>
        <w:t>12/09/2024 10:46:00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FB359E" w:rsidRPr="00FB359E">
        <w:rPr>
          <w:noProof/>
          <w:color w:val="333333"/>
          <w:sz w:val="20"/>
        </w:rPr>
        <w:t>3944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FB359E" w:rsidRPr="00FB359E">
        <w:rPr>
          <w:noProof/>
          <w:color w:val="333333"/>
          <w:sz w:val="20"/>
        </w:rPr>
        <w:t>758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863406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863406" w:rsidRPr="001C19C4">
      <w:rPr>
        <w:rStyle w:val="Nmerodepgina"/>
        <w:color w:val="333333"/>
      </w:rPr>
      <w:fldChar w:fldCharType="separate"/>
    </w:r>
    <w:r w:rsidR="00FB359E">
      <w:rPr>
        <w:rStyle w:val="Nmerodepgina"/>
        <w:noProof/>
        <w:color w:val="333333"/>
      </w:rPr>
      <w:t>1</w:t>
    </w:r>
    <w:r w:rsidR="00863406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FB359E" w:rsidRPr="00FB359E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3F0B" w:rsidRDefault="00593F0B">
      <w:r>
        <w:separator/>
      </w:r>
    </w:p>
  </w:footnote>
  <w:footnote w:type="continuationSeparator" w:id="0">
    <w:p w:rsidR="00593F0B" w:rsidRDefault="00593F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8F22C9"/>
    <w:rsid w:val="00026430"/>
    <w:rsid w:val="00030DF5"/>
    <w:rsid w:val="0003615C"/>
    <w:rsid w:val="000376AB"/>
    <w:rsid w:val="00043882"/>
    <w:rsid w:val="000450BA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3EAE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2CB3"/>
    <w:rsid w:val="00334B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93F0B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D10D0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63406"/>
    <w:rsid w:val="00870A2D"/>
    <w:rsid w:val="008844BF"/>
    <w:rsid w:val="0088546A"/>
    <w:rsid w:val="00890C59"/>
    <w:rsid w:val="00890E2F"/>
    <w:rsid w:val="008938E5"/>
    <w:rsid w:val="008A49F1"/>
    <w:rsid w:val="008B4536"/>
    <w:rsid w:val="008C4AC3"/>
    <w:rsid w:val="008F22C9"/>
    <w:rsid w:val="00906685"/>
    <w:rsid w:val="00910E0F"/>
    <w:rsid w:val="0091690E"/>
    <w:rsid w:val="00947238"/>
    <w:rsid w:val="009624FC"/>
    <w:rsid w:val="009629E5"/>
    <w:rsid w:val="0096461D"/>
    <w:rsid w:val="009953AF"/>
    <w:rsid w:val="00996E34"/>
    <w:rsid w:val="009A6E2B"/>
    <w:rsid w:val="009B4FAC"/>
    <w:rsid w:val="009C20D3"/>
    <w:rsid w:val="009D6D19"/>
    <w:rsid w:val="009E5835"/>
    <w:rsid w:val="009F4E01"/>
    <w:rsid w:val="00A06A2B"/>
    <w:rsid w:val="00A07090"/>
    <w:rsid w:val="00A11AD7"/>
    <w:rsid w:val="00A1286B"/>
    <w:rsid w:val="00A240CA"/>
    <w:rsid w:val="00A25FAF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E5167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359E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2C9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Default">
    <w:name w:val="Default"/>
    <w:rsid w:val="008F22C9"/>
    <w:pPr>
      <w:autoSpaceDE w:val="0"/>
      <w:autoSpaceDN w:val="0"/>
      <w:adjustRightInd w:val="0"/>
    </w:pPr>
    <w:rPr>
      <w:color w:val="000000"/>
      <w:sz w:val="24"/>
      <w:szCs w:val="24"/>
      <w:lang w:val="es-ES"/>
    </w:rPr>
  </w:style>
  <w:style w:type="paragraph" w:customStyle="1" w:styleId="paragraph">
    <w:name w:val="paragraph"/>
    <w:basedOn w:val="Normal"/>
    <w:rsid w:val="000450BA"/>
    <w:pPr>
      <w:spacing w:before="100" w:beforeAutospacing="1" w:after="100" w:afterAutospacing="1"/>
      <w:jc w:val="left"/>
    </w:pPr>
    <w:rPr>
      <w:rFonts w:eastAsiaTheme="minorHAnsi"/>
      <w:sz w:val="20"/>
    </w:rPr>
  </w:style>
  <w:style w:type="character" w:customStyle="1" w:styleId="normaltextrun">
    <w:name w:val="normaltextrun"/>
    <w:basedOn w:val="Fuentedeprrafopredeter"/>
    <w:rsid w:val="000450BA"/>
  </w:style>
  <w:style w:type="character" w:customStyle="1" w:styleId="eop">
    <w:name w:val="eop"/>
    <w:basedOn w:val="Fuentedeprrafopredeter"/>
    <w:rsid w:val="000450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gallotti\Documents\Despachos%202020%20al%202024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750F91-4590-4D25-91AC-66AEFC72B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2</TotalTime>
  <Pages>3</Pages>
  <Words>758</Words>
  <Characters>3944</Characters>
  <Application>Microsoft Office Word</Application>
  <DocSecurity>0</DocSecurity>
  <Lines>143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digallotti</dc:creator>
  <cp:lastModifiedBy>digallotti</cp:lastModifiedBy>
  <cp:revision>4</cp:revision>
  <cp:lastPrinted>2024-09-16T13:37:00Z</cp:lastPrinted>
  <dcterms:created xsi:type="dcterms:W3CDTF">2024-09-12T13:46:00Z</dcterms:created>
  <dcterms:modified xsi:type="dcterms:W3CDTF">2024-09-16T13:38:00Z</dcterms:modified>
</cp:coreProperties>
</file>