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C0B" w:rsidRPr="00D25395" w:rsidRDefault="00A636E5" w:rsidP="00D25395">
      <w:pPr>
        <w:widowControl/>
        <w:spacing w:before="120" w:line="360" w:lineRule="auto"/>
        <w:jc w:val="center"/>
        <w:rPr>
          <w:rFonts w:eastAsiaTheme="minorHAnsi"/>
          <w:b/>
          <w:sz w:val="24"/>
          <w:szCs w:val="24"/>
          <w:lang w:val="es-AR" w:eastAsia="en-US"/>
        </w:rPr>
      </w:pPr>
      <w:r w:rsidRPr="00D25395">
        <w:rPr>
          <w:rFonts w:eastAsiaTheme="minorHAnsi"/>
          <w:b/>
          <w:sz w:val="24"/>
          <w:szCs w:val="24"/>
          <w:lang w:val="es-AR" w:eastAsia="en-US"/>
        </w:rPr>
        <w:t>PROYECTO DE LEY</w:t>
      </w:r>
    </w:p>
    <w:p w:rsidR="006D0C0B" w:rsidRPr="00D25395" w:rsidRDefault="00A636E5" w:rsidP="00D25395">
      <w:pPr>
        <w:widowControl/>
        <w:spacing w:before="120" w:line="360" w:lineRule="auto"/>
        <w:jc w:val="center"/>
        <w:rPr>
          <w:rFonts w:eastAsiaTheme="minorHAnsi"/>
          <w:b/>
          <w:sz w:val="24"/>
          <w:szCs w:val="24"/>
          <w:lang w:val="es-AR" w:eastAsia="en-US"/>
        </w:rPr>
      </w:pPr>
      <w:r w:rsidRPr="00D25395">
        <w:rPr>
          <w:rFonts w:eastAsiaTheme="minorHAnsi"/>
          <w:b/>
          <w:sz w:val="24"/>
          <w:szCs w:val="24"/>
          <w:lang w:val="es-AR" w:eastAsia="en-US"/>
        </w:rPr>
        <w:t>MODIFICACIÓN AL RÉGIMEN DE INTEGRIDAD PÚBLICA DE LA CIUDAD AUTÓNOMA DE BUENOS AIRES</w:t>
      </w:r>
    </w:p>
    <w:p w:rsidR="006D0C0B" w:rsidRPr="00D25395" w:rsidRDefault="006D0C0B" w:rsidP="00D25395">
      <w:pPr>
        <w:widowControl/>
        <w:spacing w:before="120" w:line="360" w:lineRule="auto"/>
        <w:jc w:val="both"/>
        <w:rPr>
          <w:rFonts w:eastAsiaTheme="minorHAnsi"/>
          <w:sz w:val="24"/>
          <w:szCs w:val="24"/>
          <w:lang w:val="es-AR" w:eastAsia="en-US"/>
        </w:rPr>
      </w:pP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b/>
          <w:sz w:val="24"/>
          <w:szCs w:val="24"/>
          <w:lang w:val="es-AR" w:eastAsia="en-US"/>
        </w:rPr>
        <w:t>Artículo 1°.-</w:t>
      </w:r>
      <w:r w:rsidRPr="00D25395">
        <w:rPr>
          <w:rFonts w:eastAsiaTheme="minorHAnsi"/>
          <w:sz w:val="24"/>
          <w:szCs w:val="24"/>
          <w:lang w:val="es-AR" w:eastAsia="en-US"/>
        </w:rPr>
        <w:t xml:space="preserve"> </w:t>
      </w:r>
      <w:r w:rsidR="00D25395" w:rsidRPr="00D25395">
        <w:rPr>
          <w:rFonts w:eastAsiaTheme="minorHAnsi"/>
          <w:sz w:val="24"/>
          <w:szCs w:val="24"/>
          <w:lang w:val="es-AR" w:eastAsia="en-US"/>
        </w:rPr>
        <w:t>Modificase</w:t>
      </w:r>
      <w:r w:rsidRPr="00D25395">
        <w:rPr>
          <w:rFonts w:eastAsiaTheme="minorHAnsi"/>
          <w:sz w:val="24"/>
          <w:szCs w:val="24"/>
          <w:lang w:val="es-AR" w:eastAsia="en-US"/>
        </w:rPr>
        <w:t xml:space="preserve"> el inciso n) del artículo 62 de la Ley 6357 que quedará redactado de la siguiente manera:</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 xml:space="preserve">“n) Efectuar denuncias </w:t>
      </w:r>
      <w:r w:rsidRPr="00D25395">
        <w:rPr>
          <w:rFonts w:eastAsiaTheme="minorHAnsi"/>
          <w:sz w:val="24"/>
          <w:szCs w:val="24"/>
          <w:lang w:val="es-AR" w:eastAsia="en-US"/>
        </w:rPr>
        <w:t xml:space="preserve">y querellas </w:t>
      </w:r>
      <w:r w:rsidRPr="00D25395">
        <w:rPr>
          <w:rFonts w:eastAsiaTheme="minorHAnsi"/>
          <w:sz w:val="24"/>
          <w:szCs w:val="24"/>
          <w:lang w:val="es-AR" w:eastAsia="en-US"/>
        </w:rPr>
        <w:t>ante la justicia, en caso de advertir la posible comisión de un delito, acompañando los elementos probatorios pertinentes, a fin de que se impulsen las actuaciones judiciales correspondientes. En el marco de dichos procesos tiene el deber de co</w:t>
      </w:r>
      <w:r w:rsidRPr="00D25395">
        <w:rPr>
          <w:rFonts w:eastAsiaTheme="minorHAnsi"/>
          <w:sz w:val="24"/>
          <w:szCs w:val="24"/>
          <w:lang w:val="es-AR" w:eastAsia="en-US"/>
        </w:rPr>
        <w:t>laborar con el Poder Judicial en todo aquello que le sea requerido.”</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b/>
          <w:sz w:val="24"/>
          <w:szCs w:val="24"/>
          <w:lang w:val="es-AR" w:eastAsia="en-US"/>
        </w:rPr>
        <w:t>Artículo 2.-</w:t>
      </w:r>
      <w:r w:rsidRPr="00D25395">
        <w:rPr>
          <w:rFonts w:eastAsiaTheme="minorHAnsi"/>
          <w:sz w:val="24"/>
          <w:szCs w:val="24"/>
          <w:lang w:val="es-AR" w:eastAsia="en-US"/>
        </w:rPr>
        <w:t xml:space="preserve"> </w:t>
      </w:r>
      <w:r w:rsidR="00D25395" w:rsidRPr="00D25395">
        <w:rPr>
          <w:rFonts w:eastAsiaTheme="minorHAnsi"/>
          <w:sz w:val="24"/>
          <w:szCs w:val="24"/>
          <w:lang w:val="es-AR" w:eastAsia="en-US"/>
        </w:rPr>
        <w:t>Modificase</w:t>
      </w:r>
      <w:r w:rsidRPr="00D25395">
        <w:rPr>
          <w:rFonts w:eastAsiaTheme="minorHAnsi"/>
          <w:sz w:val="24"/>
          <w:szCs w:val="24"/>
          <w:lang w:val="es-AR" w:eastAsia="en-US"/>
        </w:rPr>
        <w:t xml:space="preserve"> el artículo 71 de la Ley Nº 6357 que quedará redactado de la siguiente manera:</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“Artículo 71.-</w:t>
      </w:r>
      <w:r w:rsidRPr="00D25395">
        <w:rPr>
          <w:rFonts w:eastAsiaTheme="minorHAnsi"/>
          <w:sz w:val="24"/>
          <w:szCs w:val="24"/>
          <w:lang w:val="es-AR" w:eastAsia="en-US"/>
        </w:rPr>
        <w:t xml:space="preserve"> Procedimiento de designación del Titular de la Oficina de Integridad.</w:t>
      </w:r>
      <w:r w:rsidRPr="00D25395">
        <w:rPr>
          <w:rFonts w:eastAsiaTheme="minorHAnsi"/>
          <w:sz w:val="24"/>
          <w:szCs w:val="24"/>
          <w:lang w:val="es-AR" w:eastAsia="en-US"/>
        </w:rPr>
        <w:t xml:space="preserve"> El/la Titular de cada Oficina de Integridad Pública será designado/a por la máxima autoridad del Poder Ejecutivo, Poder Legislativo y Poder Judicial, según corresponda, </w:t>
      </w:r>
      <w:r w:rsidRPr="00D25395">
        <w:rPr>
          <w:rFonts w:eastAsiaTheme="minorHAnsi"/>
          <w:sz w:val="24"/>
          <w:szCs w:val="24"/>
          <w:lang w:val="es-AR" w:eastAsia="en-US"/>
        </w:rPr>
        <w:t>mediante concurso público de oposición y antecedentes, cuya reglamentación corresponde</w:t>
      </w:r>
      <w:r w:rsidRPr="00D25395">
        <w:rPr>
          <w:rFonts w:eastAsiaTheme="minorHAnsi"/>
          <w:sz w:val="24"/>
          <w:szCs w:val="24"/>
          <w:lang w:val="es-AR" w:eastAsia="en-US"/>
        </w:rPr>
        <w:t>rá a cada poder.”</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b/>
          <w:sz w:val="24"/>
          <w:szCs w:val="24"/>
          <w:lang w:val="es-AR" w:eastAsia="en-US"/>
        </w:rPr>
        <w:t>Artículo 3°.-</w:t>
      </w:r>
      <w:r w:rsidRPr="00D25395">
        <w:rPr>
          <w:rFonts w:eastAsiaTheme="minorHAnsi"/>
          <w:sz w:val="24"/>
          <w:szCs w:val="24"/>
          <w:lang w:val="es-AR" w:eastAsia="en-US"/>
        </w:rPr>
        <w:t xml:space="preserve"> </w:t>
      </w:r>
      <w:r w:rsidRPr="00D25395">
        <w:rPr>
          <w:rFonts w:eastAsiaTheme="minorHAnsi"/>
          <w:sz w:val="24"/>
          <w:szCs w:val="24"/>
          <w:lang w:val="es-AR" w:eastAsia="en-US"/>
        </w:rPr>
        <w:t>Incorpórase el artículo 80 bis a la Ley 6357 que contendrá el siguiente texto:</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“Todas las oficinas del Gobierno de la Ciudad de Buenos Aires que presten servicio de atención al público deberán exhibir, mediante carteles colo</w:t>
      </w:r>
      <w:r w:rsidRPr="00D25395">
        <w:rPr>
          <w:rFonts w:eastAsiaTheme="minorHAnsi"/>
          <w:sz w:val="24"/>
          <w:szCs w:val="24"/>
          <w:lang w:val="es-AR" w:eastAsia="en-US"/>
        </w:rPr>
        <w:t>cados en lugares visibles y en sus páginas web, la siguiente leyenda: “Todo ciudadano está facultado para poner en conocimiento de la Oficina de Integridad Pública, cualquier acto de agente público que sea contrario a las normas de integridad consagradas e</w:t>
      </w:r>
      <w:r w:rsidRPr="00D25395">
        <w:rPr>
          <w:rFonts w:eastAsiaTheme="minorHAnsi"/>
          <w:sz w:val="24"/>
          <w:szCs w:val="24"/>
          <w:lang w:val="es-AR" w:eastAsia="en-US"/>
        </w:rPr>
        <w:t>n la ley 6357”. A dicha leyenda deberán agregarse los datos de contacto de la Oficina de Integridad Pública.</w:t>
      </w:r>
    </w:p>
    <w:p w:rsidR="006D0C0B" w:rsidRPr="00D25395" w:rsidRDefault="00D25395" w:rsidP="00D25395">
      <w:pPr>
        <w:widowControl/>
        <w:spacing w:before="120" w:line="360" w:lineRule="auto"/>
        <w:rPr>
          <w:rFonts w:eastAsiaTheme="minorHAnsi"/>
          <w:sz w:val="24"/>
          <w:szCs w:val="24"/>
          <w:lang w:val="es-AR" w:eastAsia="en-US"/>
        </w:rPr>
        <w:sectPr w:rsidR="006D0C0B" w:rsidRPr="00D25395">
          <w:headerReference w:type="default" r:id="rId8"/>
          <w:footerReference w:type="default" r:id="rId9"/>
          <w:pgSz w:w="12240" w:h="20160"/>
          <w:pgMar w:top="2000" w:right="740" w:bottom="1440" w:left="1720" w:header="750" w:footer="1247" w:gutter="0"/>
          <w:pgNumType w:start="1"/>
          <w:cols w:space="720"/>
        </w:sectPr>
      </w:pPr>
      <w:r w:rsidRPr="00D25395">
        <w:rPr>
          <w:rFonts w:eastAsiaTheme="minorHAnsi"/>
          <w:b/>
          <w:sz w:val="24"/>
          <w:szCs w:val="24"/>
          <w:lang w:val="es-AR" w:eastAsia="en-US"/>
        </w:rPr>
        <w:t>Art.</w:t>
      </w:r>
      <w:r w:rsidR="00A636E5" w:rsidRPr="00D25395">
        <w:rPr>
          <w:rFonts w:eastAsiaTheme="minorHAnsi"/>
          <w:b/>
          <w:sz w:val="24"/>
          <w:szCs w:val="24"/>
          <w:lang w:val="es-AR" w:eastAsia="en-US"/>
        </w:rPr>
        <w:t>4°.-</w:t>
      </w:r>
      <w:r>
        <w:rPr>
          <w:rFonts w:eastAsiaTheme="minorHAnsi"/>
          <w:sz w:val="24"/>
          <w:szCs w:val="24"/>
          <w:lang w:val="es-AR" w:eastAsia="en-US"/>
        </w:rPr>
        <w:t xml:space="preserve"> Comuníquese, etc.-</w:t>
      </w:r>
    </w:p>
    <w:p w:rsidR="006D0C0B" w:rsidRPr="00D25395" w:rsidRDefault="00A636E5" w:rsidP="00D25395">
      <w:pPr>
        <w:widowControl/>
        <w:spacing w:before="120" w:line="360" w:lineRule="auto"/>
        <w:jc w:val="both"/>
        <w:rPr>
          <w:rFonts w:eastAsiaTheme="minorHAnsi"/>
          <w:sz w:val="24"/>
          <w:szCs w:val="24"/>
          <w:u w:val="single"/>
          <w:lang w:val="es-AR" w:eastAsia="en-US"/>
        </w:rPr>
      </w:pPr>
      <w:r w:rsidRPr="00D25395">
        <w:rPr>
          <w:rFonts w:eastAsiaTheme="minorHAnsi"/>
          <w:sz w:val="24"/>
          <w:szCs w:val="24"/>
          <w:u w:val="single"/>
          <w:lang w:val="es-AR" w:eastAsia="en-US"/>
        </w:rPr>
        <w:lastRenderedPageBreak/>
        <w:t>FUNDAMENTOS</w:t>
      </w:r>
    </w:p>
    <w:p w:rsidR="006D0C0B" w:rsidRPr="00D25395" w:rsidRDefault="006D0C0B" w:rsidP="00D25395">
      <w:pPr>
        <w:widowControl/>
        <w:spacing w:before="120" w:line="360" w:lineRule="auto"/>
        <w:jc w:val="both"/>
        <w:rPr>
          <w:rFonts w:eastAsiaTheme="minorHAnsi"/>
          <w:sz w:val="24"/>
          <w:szCs w:val="24"/>
          <w:lang w:val="es-AR" w:eastAsia="en-US"/>
        </w:rPr>
      </w:pPr>
      <w:bookmarkStart w:id="0" w:name="_GoBack"/>
      <w:bookmarkEnd w:id="0"/>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Sr. Vicepresidente:</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La Ley 6357 de Régimen de Integridad Pública modificó el régimen previsto por la Ley 4895. En particular, el art. 24 de la ley 4320 de Ética en el Ejercicio de la Función Pública previó la designación de los titulares de las autoridades de aplicación, corr</w:t>
      </w:r>
      <w:r w:rsidRPr="00D25395">
        <w:rPr>
          <w:rFonts w:eastAsiaTheme="minorHAnsi"/>
          <w:sz w:val="24"/>
          <w:szCs w:val="24"/>
          <w:lang w:val="es-AR" w:eastAsia="en-US"/>
        </w:rPr>
        <w:t xml:space="preserve">espondientes a cada poder del Estado (Ejecutivo, Legislativo y Judicial) mediante ‘concurso público de oposición y antecedentes’. De ese modo, consagró -respecto de los mencionados organismos de control- el principio de idoneidad e igualdad para el acceso </w:t>
      </w:r>
      <w:r w:rsidRPr="00D25395">
        <w:rPr>
          <w:rFonts w:eastAsiaTheme="minorHAnsi"/>
          <w:sz w:val="24"/>
          <w:szCs w:val="24"/>
          <w:lang w:val="es-AR" w:eastAsia="en-US"/>
        </w:rPr>
        <w:t>a los cargos públicos, presente el art. 16 de la Constitución Nacional e, implícitamente, en los arts. 10 y 11 de la Constitución de la Ciudad Autónoma de Buenos Aires.</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La ley modificada no hacía más que cumplir con el art. 25 del Pacto Internacional de Derechos Civiles y Políticos (que posee jerarquía constitucional, conf. art. 75, inc. 22, CN) y que establece: ‘Todos los ciudadanos gozarán, sin ninguna de las distincion</w:t>
      </w:r>
      <w:r w:rsidRPr="00D25395">
        <w:rPr>
          <w:rFonts w:eastAsiaTheme="minorHAnsi"/>
          <w:sz w:val="24"/>
          <w:szCs w:val="24"/>
          <w:lang w:val="es-AR" w:eastAsia="en-US"/>
        </w:rPr>
        <w:t>es mencionadas en el art. 2, y sin restricciones indebidas, de los siguientes derechos y oportunidades: a) Participar de la dirección de los asuntos públicos, directamente o por medio de representantes libremente elegidos</w:t>
      </w:r>
      <w:proofErr w:type="gramStart"/>
      <w:r w:rsidRPr="00D25395">
        <w:rPr>
          <w:rFonts w:eastAsiaTheme="minorHAnsi"/>
          <w:sz w:val="24"/>
          <w:szCs w:val="24"/>
          <w:lang w:val="es-AR" w:eastAsia="en-US"/>
        </w:rPr>
        <w:t>; ..</w:t>
      </w:r>
      <w:proofErr w:type="gramEnd"/>
      <w:r w:rsidRPr="00D25395">
        <w:rPr>
          <w:rFonts w:eastAsiaTheme="minorHAnsi"/>
          <w:sz w:val="24"/>
          <w:szCs w:val="24"/>
          <w:lang w:val="es-AR" w:eastAsia="en-US"/>
        </w:rPr>
        <w:t xml:space="preserve"> c) Tener acceso en condiciones</w:t>
      </w:r>
      <w:r w:rsidRPr="00D25395">
        <w:rPr>
          <w:rFonts w:eastAsiaTheme="minorHAnsi"/>
          <w:sz w:val="24"/>
          <w:szCs w:val="24"/>
          <w:lang w:val="es-AR" w:eastAsia="en-US"/>
        </w:rPr>
        <w:t xml:space="preserve"> generales de igualdad, a las funciones públicas de su país´”.</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Asimismo, el artículo 5, inc. 2 del citado pacto estipula que “No podrá admitirse restricción o menoscabo de ninguno de los derechos humanos fundamentales reconocidos o vigentes en un Estado Pa</w:t>
      </w:r>
      <w:r w:rsidRPr="00D25395">
        <w:rPr>
          <w:rFonts w:eastAsiaTheme="minorHAnsi"/>
          <w:sz w:val="24"/>
          <w:szCs w:val="24"/>
          <w:lang w:val="es-AR" w:eastAsia="en-US"/>
        </w:rPr>
        <w:t xml:space="preserve">rte en virtud de leyes, convenciones, reglamentos o costumbres, so pretexto de que el presente Pacto no los reconoce o los reconoce en menor grado”. De ello deriva que el derecho de los ciudadanos </w:t>
      </w:r>
      <w:proofErr w:type="gramStart"/>
      <w:r w:rsidRPr="00D25395">
        <w:rPr>
          <w:rFonts w:eastAsiaTheme="minorHAnsi"/>
          <w:sz w:val="24"/>
          <w:szCs w:val="24"/>
          <w:lang w:val="es-AR" w:eastAsia="en-US"/>
        </w:rPr>
        <w:t>a</w:t>
      </w:r>
      <w:proofErr w:type="gramEnd"/>
      <w:r w:rsidRPr="00D25395">
        <w:rPr>
          <w:rFonts w:eastAsiaTheme="minorHAnsi"/>
          <w:sz w:val="24"/>
          <w:szCs w:val="24"/>
          <w:lang w:val="es-AR" w:eastAsia="en-US"/>
        </w:rPr>
        <w:t xml:space="preserve"> acceder a un cargo público mediante el concurso público d</w:t>
      </w:r>
      <w:r w:rsidRPr="00D25395">
        <w:rPr>
          <w:rFonts w:eastAsiaTheme="minorHAnsi"/>
          <w:sz w:val="24"/>
          <w:szCs w:val="24"/>
          <w:lang w:val="es-AR" w:eastAsia="en-US"/>
        </w:rPr>
        <w:t>e oposición y antecedentes -que garantiza el principio de idoneidad- jamás debió ser restringido ni menoscabado por normas dictadas con posterioridad.</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Asimismo, la ley 6357, que consagró el “Régimen de Integridad Pública” dispuso en su artículo</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102 la abrogación de la “Ley de Ética en el Ejercicio de la Función Pública” -nro. 4895-, eliminando -entre otras cosas- la designación de la autoridad de aplicación, por vía de ‘concurso público de oposición y antecedentes’. A cambio de ello, la nueva ley</w:t>
      </w:r>
      <w:r w:rsidRPr="00D25395">
        <w:rPr>
          <w:rFonts w:eastAsiaTheme="minorHAnsi"/>
          <w:sz w:val="24"/>
          <w:szCs w:val="24"/>
          <w:lang w:val="es-AR" w:eastAsia="en-US"/>
        </w:rPr>
        <w:t xml:space="preserve"> 6357, en su art. 71, estableció que la designación de los funcionarios a cargo de las autoridades de aplicación, es facultad exclusiva de la máxima autoridad de cada poder, y que el proceso de selección admite, </w:t>
      </w:r>
      <w:proofErr w:type="gramStart"/>
      <w:r w:rsidRPr="00D25395">
        <w:rPr>
          <w:rFonts w:eastAsiaTheme="minorHAnsi"/>
          <w:sz w:val="24"/>
          <w:szCs w:val="24"/>
          <w:lang w:val="es-AR" w:eastAsia="en-US"/>
        </w:rPr>
        <w:t>únicamente</w:t>
      </w:r>
      <w:proofErr w:type="gramEnd"/>
      <w:r w:rsidRPr="00D25395">
        <w:rPr>
          <w:rFonts w:eastAsiaTheme="minorHAnsi"/>
          <w:sz w:val="24"/>
          <w:szCs w:val="24"/>
          <w:lang w:val="es-AR" w:eastAsia="en-US"/>
        </w:rPr>
        <w:t xml:space="preserve">, una audiencia pública en la que </w:t>
      </w:r>
      <w:r w:rsidRPr="00D25395">
        <w:rPr>
          <w:rFonts w:eastAsiaTheme="minorHAnsi"/>
          <w:sz w:val="24"/>
          <w:szCs w:val="24"/>
          <w:lang w:val="es-AR" w:eastAsia="en-US"/>
        </w:rPr>
        <w:t>la ciudadanía puede efectuar observaciones sin carácter vinculante, respecto de la decisión del Poder Ejecutivo local.</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Dicho de otro modo, se ha pasado de un sistema en el que todos los ciudadanos que reunieran determinadas características académicas y pro</w:t>
      </w:r>
      <w:r w:rsidRPr="00D25395">
        <w:rPr>
          <w:rFonts w:eastAsiaTheme="minorHAnsi"/>
          <w:sz w:val="24"/>
          <w:szCs w:val="24"/>
          <w:lang w:val="es-AR" w:eastAsia="en-US"/>
        </w:rPr>
        <w:t>fesionales para el ejercicio del cargo público, podían presentarse a competir en un concurso y demostrar su mayor idoneidad, a un sistema en el que todos los ciudadanos que antes podían competir, hoy son desplazados por una decisión política de la máxima a</w:t>
      </w:r>
      <w:r w:rsidRPr="00D25395">
        <w:rPr>
          <w:rFonts w:eastAsiaTheme="minorHAnsi"/>
          <w:sz w:val="24"/>
          <w:szCs w:val="24"/>
          <w:lang w:val="es-AR" w:eastAsia="en-US"/>
        </w:rPr>
        <w:t xml:space="preserve">utoridad del poder que designa al funcionario a cargo del órgano de aplicación. En </w:t>
      </w:r>
      <w:r w:rsidRPr="00D25395">
        <w:rPr>
          <w:rFonts w:eastAsiaTheme="minorHAnsi"/>
          <w:sz w:val="24"/>
          <w:szCs w:val="24"/>
          <w:lang w:val="es-AR" w:eastAsia="en-US"/>
        </w:rPr>
        <w:lastRenderedPageBreak/>
        <w:t>definitiva, se ha creado un sistema que discrimina por razones políticas y que desestima el mérito para el acceso al cargo público.</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Paralelamente, se ha lesionado el princip</w:t>
      </w:r>
      <w:r w:rsidRPr="00D25395">
        <w:rPr>
          <w:rFonts w:eastAsiaTheme="minorHAnsi"/>
          <w:sz w:val="24"/>
          <w:szCs w:val="24"/>
          <w:lang w:val="es-AR" w:eastAsia="en-US"/>
        </w:rPr>
        <w:t>io de independencia que las normas internacionales exigen a los organismos dedicados a la lucha contra la corrupción. En efecto, el artículo 1° de la Convención de las Naciones Unidas contra la Corrupción dispone que la finalidad de dicho instrumento inter</w:t>
      </w:r>
      <w:r w:rsidRPr="00D25395">
        <w:rPr>
          <w:rFonts w:eastAsiaTheme="minorHAnsi"/>
          <w:sz w:val="24"/>
          <w:szCs w:val="24"/>
          <w:lang w:val="es-AR" w:eastAsia="en-US"/>
        </w:rPr>
        <w:t xml:space="preserve">nacional es </w:t>
      </w:r>
      <w:r w:rsidRPr="00D25395">
        <w:rPr>
          <w:rFonts w:eastAsiaTheme="minorHAnsi"/>
          <w:sz w:val="24"/>
          <w:szCs w:val="24"/>
          <w:lang w:val="es-AR" w:eastAsia="en-US"/>
        </w:rPr>
        <w:t>“a) Promover y fortalecer las medidas para prevenir y combatir más eficaz y eficientemente la corrupción;...”</w:t>
      </w:r>
      <w:r w:rsidRPr="00D25395">
        <w:rPr>
          <w:rFonts w:eastAsiaTheme="minorHAnsi"/>
          <w:sz w:val="24"/>
          <w:szCs w:val="24"/>
          <w:lang w:val="es-AR" w:eastAsia="en-US"/>
        </w:rPr>
        <w:t>.</w:t>
      </w:r>
    </w:p>
    <w:p w:rsid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 xml:space="preserve">Así, siendo la finalidad de la Convención “fortalecer las medidas para prevenir y combatir más eficaz y eficientemente la corrupción...”, podemos afirmar a “contrario sensu” que dicha norma prohíbe el debilitamiento de aquellos estándares de independencia </w:t>
      </w:r>
      <w:r w:rsidRPr="00D25395">
        <w:rPr>
          <w:rFonts w:eastAsiaTheme="minorHAnsi"/>
          <w:sz w:val="24"/>
          <w:szCs w:val="24"/>
          <w:lang w:val="es-AR" w:eastAsia="en-US"/>
        </w:rPr>
        <w:t>al</w:t>
      </w:r>
      <w:r w:rsidR="00D25395">
        <w:rPr>
          <w:rFonts w:eastAsiaTheme="minorHAnsi"/>
          <w:sz w:val="24"/>
          <w:szCs w:val="24"/>
          <w:lang w:val="es-AR" w:eastAsia="en-US"/>
        </w:rPr>
        <w:t>canzados por las normas locales.</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 xml:space="preserve">Asimismo la norma impugnada contraviene lo establecido en el art. 6 de la Convención que estipula que </w:t>
      </w:r>
      <w:r w:rsidRPr="00D25395">
        <w:rPr>
          <w:rFonts w:eastAsiaTheme="minorHAnsi"/>
          <w:sz w:val="24"/>
          <w:szCs w:val="24"/>
          <w:lang w:val="es-AR" w:eastAsia="en-US"/>
        </w:rPr>
        <w:t>“Cada Estado Parte otorgará al órgano o a los órganos mencionados en el párrafo</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1 del presente artículo la independ</w:t>
      </w:r>
      <w:r w:rsidRPr="00D25395">
        <w:rPr>
          <w:rFonts w:eastAsiaTheme="minorHAnsi"/>
          <w:sz w:val="24"/>
          <w:szCs w:val="24"/>
          <w:lang w:val="es-AR" w:eastAsia="en-US"/>
        </w:rPr>
        <w:t>encia necesaria, de conformidad con los principios fundamentales de su ordenamiento jurídico, para que puedan desempeñar sus funciones de manera eficaz y sin ninguna influencia indebida</w:t>
      </w:r>
      <w:proofErr w:type="gramStart"/>
      <w:r w:rsidRPr="00D25395">
        <w:rPr>
          <w:rFonts w:eastAsiaTheme="minorHAnsi"/>
          <w:sz w:val="24"/>
          <w:szCs w:val="24"/>
          <w:lang w:val="es-AR" w:eastAsia="en-US"/>
        </w:rPr>
        <w:t>..”</w:t>
      </w:r>
      <w:proofErr w:type="gramEnd"/>
      <w:r w:rsidRPr="00D25395">
        <w:rPr>
          <w:rFonts w:eastAsiaTheme="minorHAnsi"/>
          <w:sz w:val="24"/>
          <w:szCs w:val="24"/>
          <w:lang w:val="es-AR" w:eastAsia="en-US"/>
        </w:rPr>
        <w:t>.</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No quedan dudas, entonces, del debilitamiento de la independencia que se produce a las autoridades de aplicación de la Ley 4320 de Ética en el Ejercicio de la Función Pública de CABA (hoy abrogada y reemplazada por la ley 6357 de Régimen de Integridad Públ</w:t>
      </w:r>
      <w:r w:rsidRPr="00D25395">
        <w:rPr>
          <w:rFonts w:eastAsiaTheme="minorHAnsi"/>
          <w:sz w:val="24"/>
          <w:szCs w:val="24"/>
          <w:lang w:val="es-AR" w:eastAsia="en-US"/>
        </w:rPr>
        <w:t>ica en la CABA). En efecto, la designación de los funcionarios que prevé el Título VI de la nueva norma, queda en manos de la máxima autoridad del Poder Ejecutivo, del Legislativo o del Judicial, según el caso. Y son, justamente, esos funcionarios designad</w:t>
      </w:r>
      <w:r w:rsidRPr="00D25395">
        <w:rPr>
          <w:rFonts w:eastAsiaTheme="minorHAnsi"/>
          <w:sz w:val="24"/>
          <w:szCs w:val="24"/>
          <w:lang w:val="es-AR" w:eastAsia="en-US"/>
        </w:rPr>
        <w:t>os, los que deberán controlar a las máximas autoridades del poder que los designó, y a las jerarquías inferiores de dichos poderes.</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 xml:space="preserve">La ley 6357 ha reemplazado, parcialmente, de modo inconstitucional y </w:t>
      </w:r>
      <w:proofErr w:type="spellStart"/>
      <w:r w:rsidRPr="00D25395">
        <w:rPr>
          <w:rFonts w:eastAsiaTheme="minorHAnsi"/>
          <w:sz w:val="24"/>
          <w:szCs w:val="24"/>
          <w:lang w:val="es-AR" w:eastAsia="en-US"/>
        </w:rPr>
        <w:t>anticonvencional</w:t>
      </w:r>
      <w:proofErr w:type="spellEnd"/>
      <w:r w:rsidRPr="00D25395">
        <w:rPr>
          <w:rFonts w:eastAsiaTheme="minorHAnsi"/>
          <w:sz w:val="24"/>
          <w:szCs w:val="24"/>
          <w:lang w:val="es-AR" w:eastAsia="en-US"/>
        </w:rPr>
        <w:t>, un régimen que sí alcanzaba los están</w:t>
      </w:r>
      <w:r w:rsidRPr="00D25395">
        <w:rPr>
          <w:rFonts w:eastAsiaTheme="minorHAnsi"/>
          <w:sz w:val="24"/>
          <w:szCs w:val="24"/>
          <w:lang w:val="es-AR" w:eastAsia="en-US"/>
        </w:rPr>
        <w:t>dares internacionales antes reseñados y que, en el caso del Poder Ejecutivo, fue incumplido sistemáticamente, mediante la designación de una autoridad provisoria, elegida sin el concurso de oposición y antecedentes previsto en la legislación que la ley 635</w:t>
      </w:r>
      <w:r w:rsidRPr="00D25395">
        <w:rPr>
          <w:rFonts w:eastAsiaTheme="minorHAnsi"/>
          <w:sz w:val="24"/>
          <w:szCs w:val="24"/>
          <w:lang w:val="es-AR" w:eastAsia="en-US"/>
        </w:rPr>
        <w:t>7 ha reemplazado.</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En otro orden, el artículo 62, inc. n), de la ley 6357 estableció un recorte ilegítimo a las competencias de la autoridad de aplicación de la ley. En efecto, la autoridad de aplicación carece</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 xml:space="preserve">-ahora- de la facultad de impulsar acciones judiciales, y sólo tendrá la competencia de realizar denuncias (obligación de cualquier funcionario que toma conocimiento de un delito y derecho de cualquier ciudadano). Lo dicho, importa la degradación respecto </w:t>
      </w:r>
      <w:r w:rsidRPr="00D25395">
        <w:rPr>
          <w:rFonts w:eastAsiaTheme="minorHAnsi"/>
          <w:sz w:val="24"/>
          <w:szCs w:val="24"/>
          <w:lang w:val="es-AR" w:eastAsia="en-US"/>
        </w:rPr>
        <w:t>de las autoridades de aplicación en su capacidad para combatir los hechos de corrupción.</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Lo dicho también constituye una reforma inconstitucional y anti convencional, en tanto que vulnera el principio de progresividad que rige en materia anticorrupción.</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Fi</w:t>
      </w:r>
      <w:r w:rsidRPr="00D25395">
        <w:rPr>
          <w:rFonts w:eastAsiaTheme="minorHAnsi"/>
          <w:sz w:val="24"/>
          <w:szCs w:val="24"/>
          <w:lang w:val="es-AR" w:eastAsia="en-US"/>
        </w:rPr>
        <w:t>nalmente, se advierte por parte de la ciudadanía y de los agentes del Gobierno de la Ciudad de Buenos Aires, de la existencia de la ley de Régimen de Integridad Pública, así como de la existencia de su autoridad de aplicación, razón por la cual, también se</w:t>
      </w:r>
      <w:r w:rsidRPr="00D25395">
        <w:rPr>
          <w:rFonts w:eastAsiaTheme="minorHAnsi"/>
          <w:sz w:val="24"/>
          <w:szCs w:val="24"/>
          <w:lang w:val="es-AR" w:eastAsia="en-US"/>
        </w:rPr>
        <w:t xml:space="preserve"> agrega un deber de informar, mediante </w:t>
      </w:r>
      <w:r w:rsidRPr="00D25395">
        <w:rPr>
          <w:rFonts w:eastAsiaTheme="minorHAnsi"/>
          <w:sz w:val="24"/>
          <w:szCs w:val="24"/>
          <w:lang w:val="es-AR" w:eastAsia="en-US"/>
        </w:rPr>
        <w:lastRenderedPageBreak/>
        <w:t>cartelería visible en todas las oficinas de atención al público y en las páginas web oficiales del GCBA, sobre la existencia de la Oficina de Integridad Pública y la posibilidad de realizar denuncias ante dicho organi</w:t>
      </w:r>
      <w:r w:rsidRPr="00D25395">
        <w:rPr>
          <w:rFonts w:eastAsiaTheme="minorHAnsi"/>
          <w:sz w:val="24"/>
          <w:szCs w:val="24"/>
          <w:lang w:val="es-AR" w:eastAsia="en-US"/>
        </w:rPr>
        <w:t>smo.</w:t>
      </w:r>
    </w:p>
    <w:p w:rsidR="006D0C0B" w:rsidRPr="00D25395" w:rsidRDefault="00A636E5" w:rsidP="00D25395">
      <w:pPr>
        <w:widowControl/>
        <w:spacing w:before="120" w:line="360" w:lineRule="auto"/>
        <w:jc w:val="both"/>
        <w:rPr>
          <w:rFonts w:eastAsiaTheme="minorHAnsi"/>
          <w:sz w:val="24"/>
          <w:szCs w:val="24"/>
          <w:lang w:val="es-AR" w:eastAsia="en-US"/>
        </w:rPr>
      </w:pPr>
      <w:r w:rsidRPr="00D25395">
        <w:rPr>
          <w:rFonts w:eastAsiaTheme="minorHAnsi"/>
          <w:sz w:val="24"/>
          <w:szCs w:val="24"/>
          <w:lang w:val="es-AR" w:eastAsia="en-US"/>
        </w:rPr>
        <w:t>Por lo expuesto, se solicita al cuerpo el pronto tratamiento y aprobación del presente Proyecto.</w:t>
      </w:r>
    </w:p>
    <w:sectPr w:rsidR="006D0C0B" w:rsidRPr="00D25395">
      <w:pgSz w:w="12240" w:h="20160"/>
      <w:pgMar w:top="2000" w:right="740" w:bottom="1440" w:left="1720" w:header="750" w:footer="12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6E5" w:rsidRDefault="00A636E5">
      <w:r>
        <w:separator/>
      </w:r>
    </w:p>
  </w:endnote>
  <w:endnote w:type="continuationSeparator" w:id="0">
    <w:p w:rsidR="00A636E5" w:rsidRDefault="00A6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C0B" w:rsidRDefault="00A636E5">
    <w:pPr>
      <w:pBdr>
        <w:top w:val="nil"/>
        <w:left w:val="nil"/>
        <w:bottom w:val="nil"/>
        <w:right w:val="nil"/>
        <w:between w:val="nil"/>
      </w:pBdr>
      <w:spacing w:line="14" w:lineRule="auto"/>
      <w:rPr>
        <w:color w:val="000000"/>
        <w:sz w:val="20"/>
        <w:szCs w:val="20"/>
      </w:rPr>
    </w:pPr>
    <w:r>
      <w:rPr>
        <w:noProof/>
        <w:lang w:val="es-AR"/>
      </w:rPr>
      <mc:AlternateContent>
        <mc:Choice Requires="wpg">
          <w:drawing>
            <wp:anchor distT="0" distB="0" distL="0" distR="0" simplePos="0" relativeHeight="251658240" behindDoc="1" locked="0" layoutInCell="1" hidden="0" allowOverlap="1" wp14:anchorId="7AB5BE2D" wp14:editId="294DC4C7">
              <wp:simplePos x="0" y="0"/>
              <wp:positionH relativeFrom="column">
                <wp:posOffset>685800</wp:posOffset>
              </wp:positionH>
              <wp:positionV relativeFrom="paragraph">
                <wp:posOffset>11861800</wp:posOffset>
              </wp:positionV>
              <wp:extent cx="4970145" cy="351155"/>
              <wp:effectExtent l="0" t="0" r="0" b="0"/>
              <wp:wrapNone/>
              <wp:docPr id="1919713603" name="1919713603 Rectángulo"/>
              <wp:cNvGraphicFramePr/>
              <a:graphic xmlns:a="http://schemas.openxmlformats.org/drawingml/2006/main">
                <a:graphicData uri="http://schemas.microsoft.com/office/word/2010/wordprocessingShape">
                  <wps:wsp>
                    <wps:cNvSpPr/>
                    <wps:spPr>
                      <a:xfrm>
                        <a:off x="2865690" y="3609185"/>
                        <a:ext cx="4960620" cy="341630"/>
                      </a:xfrm>
                      <a:prstGeom prst="rect">
                        <a:avLst/>
                      </a:prstGeom>
                      <a:noFill/>
                      <a:ln>
                        <a:noFill/>
                      </a:ln>
                    </wps:spPr>
                    <wps:txbx>
                      <w:txbxContent>
                        <w:p w:rsidR="006D0C0B" w:rsidRDefault="00A636E5">
                          <w:pPr>
                            <w:spacing w:before="11"/>
                            <w:ind w:left="3590" w:firstLine="20"/>
                            <w:textDirection w:val="btLr"/>
                          </w:pPr>
                          <w:r>
                            <w:rPr>
                              <w:color w:val="333333"/>
                              <w:sz w:val="20"/>
                            </w:rPr>
                            <w:t xml:space="preserve">Último cambio: 27/03/2020 0:28:00 - Cantidad de caracteres: 2494 - Cantidad de palabras: 486 Pág. </w:t>
                          </w:r>
                          <w:r>
                            <w:rPr>
                              <w:color w:val="333333"/>
                              <w:sz w:val="24"/>
                            </w:rPr>
                            <w:t xml:space="preserve"> PAGE </w:t>
                          </w:r>
                          <w:r>
                            <w:rPr>
                              <w:color w:val="000000"/>
                            </w:rPr>
                            <w:t>1</w:t>
                          </w:r>
                          <w:r>
                            <w:rPr>
                              <w:color w:val="333333"/>
                              <w:sz w:val="24"/>
                            </w:rPr>
                            <w:t>/</w:t>
                          </w:r>
                          <w:r>
                            <w:rPr>
                              <w:color w:val="000000"/>
                              <w:sz w:val="24"/>
                            </w:rPr>
                            <w:t>3</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685800</wp:posOffset>
              </wp:positionH>
              <wp:positionV relativeFrom="paragraph">
                <wp:posOffset>11861800</wp:posOffset>
              </wp:positionV>
              <wp:extent cx="4970145" cy="351155"/>
              <wp:effectExtent b="0" l="0" r="0" t="0"/>
              <wp:wrapNone/>
              <wp:docPr id="1919713603"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4970145" cy="351155"/>
                      </a:xfrm>
                      <a:prstGeom prst="rect"/>
                      <a:ln/>
                    </pic:spPr>
                  </pic:pic>
                </a:graphicData>
              </a:graphic>
            </wp:anchor>
          </w:drawing>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6E5" w:rsidRDefault="00A636E5">
      <w:r>
        <w:separator/>
      </w:r>
    </w:p>
  </w:footnote>
  <w:footnote w:type="continuationSeparator" w:id="0">
    <w:p w:rsidR="00A636E5" w:rsidRDefault="00A636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C0B" w:rsidRDefault="006D0C0B">
    <w:pPr>
      <w:pBdr>
        <w:top w:val="nil"/>
        <w:left w:val="nil"/>
        <w:bottom w:val="nil"/>
        <w:right w:val="nil"/>
        <w:between w:val="nil"/>
      </w:pBdr>
      <w:spacing w:line="14" w:lineRule="auto"/>
      <w:rPr>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6D0C0B"/>
    <w:rsid w:val="006D0C0B"/>
    <w:rsid w:val="00A636E5"/>
    <w:rsid w:val="00D2539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es-A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uiPriority w:val="9"/>
    <w:qFormat/>
    <w:pPr>
      <w:ind w:left="1510" w:right="506"/>
      <w:jc w:val="center"/>
      <w:outlineLvl w:val="0"/>
    </w:pPr>
    <w:rPr>
      <w:b/>
      <w:bCs/>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uiPriority w:val="10"/>
    <w:qFormat/>
    <w:pPr>
      <w:spacing w:before="90"/>
      <w:ind w:left="1510" w:right="506"/>
      <w:jc w:val="center"/>
    </w:pPr>
    <w:rPr>
      <w:b/>
      <w:bCs/>
      <w:sz w:val="24"/>
      <w:szCs w:val="24"/>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ES" w:eastAsia="es-A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uiPriority w:val="9"/>
    <w:qFormat/>
    <w:pPr>
      <w:ind w:left="1510" w:right="506"/>
      <w:jc w:val="center"/>
      <w:outlineLvl w:val="0"/>
    </w:pPr>
    <w:rPr>
      <w:b/>
      <w:bCs/>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uiPriority w:val="10"/>
    <w:qFormat/>
    <w:pPr>
      <w:spacing w:before="90"/>
      <w:ind w:left="1510" w:right="506"/>
      <w:jc w:val="center"/>
    </w:pPr>
    <w:rPr>
      <w:b/>
      <w:bCs/>
      <w:sz w:val="24"/>
      <w:szCs w:val="24"/>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38kQsRXKPO07G0ev2b3HzRMf+w==">CgMxLjA4AHIhMU81YzRYRWxob1Vla1dyXzFqb0lmQWROcThYMjJEVUxR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1285</Words>
  <Characters>7071</Characters>
  <Application>Microsoft Office Word</Application>
  <DocSecurity>0</DocSecurity>
  <Lines>58</Lines>
  <Paragraphs>16</Paragraphs>
  <ScaleCrop>false</ScaleCrop>
  <Company/>
  <LinksUpToDate>false</LinksUpToDate>
  <CharactersWithSpaces>8340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Ciudadanos Libres ONG</dc:creator>
  <cp:lastModifiedBy>Cari</cp:lastModifiedBy>
  <cp:revision>2</cp:revision>
  <dcterms:created xsi:type="dcterms:W3CDTF">2024-08-07T17:24:00Z</dcterms:created>
  <dcterms:modified xsi:type="dcterms:W3CDTF">2024-10-16T12:39:00Z</dcterms:modified>
</cp:coreProperties>
</file>