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30A" w:rsidRDefault="00921403">
      <w:pPr>
        <w:pStyle w:val="normal0"/>
        <w:pBdr>
          <w:top w:val="nil"/>
          <w:left w:val="nil"/>
          <w:bottom w:val="nil"/>
          <w:right w:val="nil"/>
          <w:between w:val="nil"/>
        </w:pBdr>
        <w:spacing w:before="240" w:after="240" w:line="360" w:lineRule="auto"/>
      </w:pPr>
      <w:r>
        <w:t>Legislatura de la Ciudad Autónoma de Buenos Aires</w:t>
      </w:r>
    </w:p>
    <w:p w:rsidR="00DC630A" w:rsidRDefault="00DC630A">
      <w:pPr>
        <w:pStyle w:val="normal0"/>
        <w:pBdr>
          <w:top w:val="nil"/>
          <w:left w:val="nil"/>
          <w:bottom w:val="nil"/>
          <w:right w:val="nil"/>
          <w:between w:val="nil"/>
        </w:pBdr>
        <w:spacing w:before="240" w:after="240" w:line="360" w:lineRule="auto"/>
      </w:pPr>
    </w:p>
    <w:p w:rsidR="00DC630A" w:rsidRDefault="00921403">
      <w:pPr>
        <w:pStyle w:val="normal0"/>
        <w:pBdr>
          <w:top w:val="nil"/>
          <w:left w:val="nil"/>
          <w:bottom w:val="nil"/>
          <w:right w:val="nil"/>
          <w:between w:val="nil"/>
        </w:pBdr>
        <w:spacing w:before="240" w:after="240" w:line="360" w:lineRule="auto"/>
      </w:pPr>
      <w:r>
        <w:t xml:space="preserve">Visto el Expediente N° 1893-D-2024, proyecto de Ley de la Diputada </w:t>
      </w:r>
      <w:proofErr w:type="spellStart"/>
      <w:r>
        <w:t>Crucitta</w:t>
      </w:r>
      <w:proofErr w:type="spellEnd"/>
      <w:r>
        <w:t xml:space="preserve"> y otros/as, el Expediente N° 1903-D-2024, proyecto de Ley de la Diputada Ocaña, y otros/as, y el Expediente N° 3109-D-2024, proyecto de Ley de la Diputada Ramírez y otros/as referidos a la modificación</w:t>
      </w:r>
      <w:r w:rsidR="00192C01">
        <w:t xml:space="preserve"> del Anexo I de la Ley N° 6031 (texto consolidado Ley N° 6.588), C</w:t>
      </w:r>
      <w:r>
        <w:t>ódigo Electoral de la Ciudad Autónoma de Buenos Aires, y;</w:t>
      </w:r>
    </w:p>
    <w:p w:rsidR="00DC630A" w:rsidRDefault="00DC630A">
      <w:pPr>
        <w:pStyle w:val="normal0"/>
        <w:pBdr>
          <w:top w:val="nil"/>
          <w:left w:val="nil"/>
          <w:bottom w:val="nil"/>
          <w:right w:val="nil"/>
          <w:between w:val="nil"/>
        </w:pBdr>
        <w:spacing w:before="240" w:after="240" w:line="360" w:lineRule="auto"/>
      </w:pPr>
    </w:p>
    <w:p w:rsidR="00DC630A" w:rsidRDefault="00921403">
      <w:pPr>
        <w:pStyle w:val="normal0"/>
        <w:pBdr>
          <w:top w:val="nil"/>
          <w:left w:val="nil"/>
          <w:bottom w:val="nil"/>
          <w:right w:val="nil"/>
          <w:between w:val="nil"/>
        </w:pBdr>
        <w:spacing w:before="240" w:after="240" w:line="360" w:lineRule="auto"/>
      </w:pPr>
      <w:r>
        <w:rPr>
          <w:b/>
        </w:rPr>
        <w:t>Considerando:</w:t>
      </w:r>
    </w:p>
    <w:p w:rsidR="00DC630A" w:rsidRDefault="00921403">
      <w:pPr>
        <w:pStyle w:val="normal0"/>
        <w:pBdr>
          <w:top w:val="nil"/>
          <w:left w:val="nil"/>
          <w:bottom w:val="nil"/>
          <w:right w:val="nil"/>
          <w:between w:val="nil"/>
        </w:pBdr>
        <w:spacing w:line="360" w:lineRule="auto"/>
        <w:ind w:firstLine="720"/>
      </w:pPr>
      <w:r>
        <w:t>Que a lo largo de estos últimos años a través de diferentes compromisos internacionales asumidos por nuestro país, se han implementado reformas para fomentar la lucha contra la corrupción y la impunidad.</w:t>
      </w:r>
    </w:p>
    <w:p w:rsidR="00DC630A" w:rsidRDefault="00921403">
      <w:pPr>
        <w:pStyle w:val="normal0"/>
        <w:pBdr>
          <w:top w:val="nil"/>
          <w:left w:val="nil"/>
          <w:bottom w:val="nil"/>
          <w:right w:val="nil"/>
          <w:between w:val="nil"/>
        </w:pBdr>
        <w:spacing w:line="360" w:lineRule="auto"/>
        <w:ind w:firstLine="708"/>
      </w:pPr>
      <w:r>
        <w:t>Que nuestro país suscribió a la Convención Interamericana contra la Corrupción y la Convención de las Naciones Unidas contra la Corrupción, propuestas que avanzan sobre la transparencia institucional, considerando a la corrupción como uno de los problemas más graves que enfrentan las sociedades modernas.</w:t>
      </w:r>
    </w:p>
    <w:p w:rsidR="00DC630A" w:rsidRDefault="00921403">
      <w:pPr>
        <w:pStyle w:val="normal0"/>
        <w:pBdr>
          <w:top w:val="nil"/>
          <w:left w:val="nil"/>
          <w:bottom w:val="nil"/>
          <w:right w:val="nil"/>
          <w:between w:val="nil"/>
        </w:pBdr>
        <w:spacing w:line="360" w:lineRule="auto"/>
        <w:ind w:firstLine="708"/>
      </w:pPr>
      <w:r>
        <w:t>Que la Convención Interamericana contra la Corrupción señala en su Preámbulo que</w:t>
      </w:r>
      <w:r>
        <w:rPr>
          <w:i/>
        </w:rPr>
        <w:t xml:space="preserve"> “la corrupción socava la legitimidad de las instituciones públicas, atenta contra la sociedad, el orden moral y la justicia, así como contra el desarrollo integral de los pueblos”.</w:t>
      </w:r>
    </w:p>
    <w:p w:rsidR="00DC630A" w:rsidRDefault="00921403">
      <w:pPr>
        <w:pStyle w:val="normal0"/>
        <w:pBdr>
          <w:top w:val="nil"/>
          <w:left w:val="nil"/>
          <w:bottom w:val="nil"/>
          <w:right w:val="nil"/>
          <w:between w:val="nil"/>
        </w:pBdr>
        <w:spacing w:line="360" w:lineRule="auto"/>
        <w:ind w:firstLine="708"/>
      </w:pPr>
      <w:r>
        <w:t>Que los Estados parte tienen competencia para reglamentar el ejercicio de los derechos y oportunidades de elegir y ser electos en cargos públicos.</w:t>
      </w:r>
    </w:p>
    <w:p w:rsidR="00DC630A" w:rsidRDefault="00921403">
      <w:pPr>
        <w:pStyle w:val="normal0"/>
        <w:pBdr>
          <w:top w:val="nil"/>
          <w:left w:val="nil"/>
          <w:bottom w:val="nil"/>
          <w:right w:val="nil"/>
          <w:between w:val="nil"/>
        </w:pBdr>
        <w:spacing w:line="360" w:lineRule="auto"/>
        <w:ind w:firstLine="708"/>
      </w:pPr>
      <w:r>
        <w:t>Que el tema denominado ¨ficha limpia¨ cuenta con vastas experiencias internacionales de implementación en países como Brasil, México, España, Uruguay, Chile, y ha encontrado resonancia en nuestro país con leyes que se han implementado en diversas provincias.</w:t>
      </w:r>
    </w:p>
    <w:p w:rsidR="00DC630A" w:rsidRDefault="00921403">
      <w:pPr>
        <w:pStyle w:val="normal0"/>
        <w:pBdr>
          <w:top w:val="nil"/>
          <w:left w:val="nil"/>
          <w:bottom w:val="nil"/>
          <w:right w:val="nil"/>
          <w:between w:val="nil"/>
        </w:pBdr>
        <w:spacing w:before="240" w:after="240" w:line="360" w:lineRule="auto"/>
        <w:ind w:firstLine="708"/>
      </w:pPr>
      <w:r>
        <w:t>Que desde hace varios años la Legislatura ha puesto en estudio y tratamiento iniciativas tendientes a implementar medidas como el acceso a la información pública, el presupuesto ciudadano, publicidad de las declaraciones juradas y modernización electoral.</w:t>
      </w:r>
    </w:p>
    <w:p w:rsidR="00DC630A" w:rsidRDefault="00921403">
      <w:pPr>
        <w:pStyle w:val="normal0"/>
        <w:pBdr>
          <w:top w:val="nil"/>
          <w:left w:val="nil"/>
          <w:bottom w:val="nil"/>
          <w:right w:val="nil"/>
          <w:between w:val="nil"/>
        </w:pBdr>
        <w:shd w:val="clear" w:color="auto" w:fill="FFFFFF"/>
        <w:spacing w:after="120" w:line="360" w:lineRule="auto"/>
        <w:ind w:firstLine="708"/>
      </w:pPr>
      <w:r>
        <w:t>Que el 25 de octubre de 2018 se sancionó la Ley N° 6031 que consagró el Código Electoral (texto consolidado Ley N° 6.588), materia prevista en la Constitución de la Ciudad Autónoma de Buenos Aires.</w:t>
      </w:r>
    </w:p>
    <w:p w:rsidR="00DC630A" w:rsidRDefault="00921403">
      <w:pPr>
        <w:pStyle w:val="normal0"/>
        <w:pBdr>
          <w:top w:val="nil"/>
          <w:left w:val="nil"/>
          <w:bottom w:val="nil"/>
          <w:right w:val="nil"/>
          <w:between w:val="nil"/>
        </w:pBdr>
        <w:spacing w:line="360" w:lineRule="auto"/>
        <w:ind w:firstLine="708"/>
      </w:pPr>
      <w:r>
        <w:lastRenderedPageBreak/>
        <w:t>Que resulta oportuno avanzar con una normativa integral que contemple la necesidad de erradicar conductas graves y reprochables, que deberían resultar absolutamente ajenas a los perfiles de quienes pretendan ser candidatos a ocupar cargos públicos.</w:t>
      </w:r>
    </w:p>
    <w:p w:rsidR="00DC630A" w:rsidRDefault="00921403">
      <w:pPr>
        <w:pStyle w:val="normal0"/>
        <w:pBdr>
          <w:top w:val="nil"/>
          <w:left w:val="nil"/>
          <w:bottom w:val="nil"/>
          <w:right w:val="nil"/>
          <w:between w:val="nil"/>
        </w:pBdr>
        <w:spacing w:line="360" w:lineRule="auto"/>
        <w:ind w:firstLine="708"/>
      </w:pPr>
      <w:r>
        <w:t xml:space="preserve">Que las normas actuales establecen ciertas exclusiones y prohibiciones para sufragar y ser candidato, las cuales han sido modificadas a lo largo del tiempo y de la vida política y social de nuestro país. </w:t>
      </w:r>
    </w:p>
    <w:p w:rsidR="00DC630A" w:rsidRDefault="00921403">
      <w:pPr>
        <w:pStyle w:val="normal0"/>
        <w:pBdr>
          <w:top w:val="nil"/>
          <w:left w:val="nil"/>
          <w:bottom w:val="nil"/>
          <w:right w:val="nil"/>
          <w:between w:val="nil"/>
        </w:pBdr>
        <w:shd w:val="clear" w:color="auto" w:fill="FFFFFF"/>
        <w:spacing w:line="360" w:lineRule="auto"/>
        <w:ind w:firstLine="708"/>
      </w:pPr>
      <w:r>
        <w:t>Que en el sistema judicial argentino ya sea por acción u omisión, sólo en muy pocas causas se alcanzan condenas, y en aquellos procesos que terminan con una sentencia condenatoria, duran en promedio más de una década, situación que se da por la multiplicidad de recursos extraordinarios de los que disponen los imputados.</w:t>
      </w:r>
    </w:p>
    <w:p w:rsidR="00DC630A" w:rsidRDefault="00921403">
      <w:pPr>
        <w:pStyle w:val="normal0"/>
        <w:pBdr>
          <w:top w:val="nil"/>
          <w:left w:val="nil"/>
          <w:bottom w:val="nil"/>
          <w:right w:val="nil"/>
          <w:between w:val="nil"/>
        </w:pBdr>
        <w:spacing w:line="360" w:lineRule="auto"/>
        <w:ind w:firstLine="708"/>
      </w:pPr>
      <w:r>
        <w:t>Que con el fin de elevar el estándar moral que deben tener nuestros representantes, y proteger a las instituciones y sus ámbitos, ciertas conductas no pueden ser aceptadas en personas que tengan la intención de formar parte de la administración pública.</w:t>
      </w:r>
    </w:p>
    <w:p w:rsidR="00DC630A" w:rsidRDefault="00921403">
      <w:pPr>
        <w:pStyle w:val="normal0"/>
        <w:pBdr>
          <w:top w:val="nil"/>
          <w:left w:val="nil"/>
          <w:bottom w:val="nil"/>
          <w:right w:val="nil"/>
          <w:between w:val="nil"/>
        </w:pBdr>
        <w:spacing w:line="360" w:lineRule="auto"/>
        <w:ind w:firstLine="708"/>
      </w:pPr>
      <w:r>
        <w:t>Que es en el Código Electoral donde corresponde inscribir esta limitación para ser precandidato, dado que en el Título Sexto regula las Primarias Abiertas, Simultáneas y Obligatorias, y determina quiénes no pueden ser precandidatos.</w:t>
      </w:r>
    </w:p>
    <w:p w:rsidR="00DC630A" w:rsidRDefault="00921403">
      <w:pPr>
        <w:pStyle w:val="normal0"/>
        <w:pBdr>
          <w:top w:val="nil"/>
          <w:left w:val="nil"/>
          <w:bottom w:val="nil"/>
          <w:right w:val="nil"/>
          <w:between w:val="nil"/>
        </w:pBdr>
        <w:spacing w:line="360" w:lineRule="auto"/>
        <w:ind w:firstLine="708"/>
      </w:pPr>
      <w:r>
        <w:t xml:space="preserve">Que es sin duda, en el ámbito del Derecho Electoral, donde se deben establecer las condiciones para favorecer el funcionamiento y la transparencia institucional de nuestro país, sin perjuicio de la aplicación del derecho penal en el ámbito correspondiente.   </w:t>
      </w:r>
    </w:p>
    <w:p w:rsidR="00DC630A" w:rsidRDefault="00192C01">
      <w:pPr>
        <w:pStyle w:val="normal0"/>
        <w:pBdr>
          <w:top w:val="nil"/>
          <w:left w:val="nil"/>
          <w:bottom w:val="nil"/>
          <w:right w:val="nil"/>
          <w:between w:val="nil"/>
        </w:pBdr>
        <w:shd w:val="clear" w:color="auto" w:fill="FFFFFF"/>
        <w:spacing w:before="240" w:after="240" w:line="360" w:lineRule="auto"/>
        <w:ind w:firstLine="708"/>
      </w:pPr>
      <w:r>
        <w:t>Es por todo lo expuesto que la Comisión</w:t>
      </w:r>
      <w:r w:rsidR="00921403">
        <w:t xml:space="preserve"> de Asuntos Constitucionales aconseja la aprobación de la siguiente:</w:t>
      </w:r>
    </w:p>
    <w:p w:rsidR="00DC630A" w:rsidRDefault="00DC630A">
      <w:pPr>
        <w:pStyle w:val="normal0"/>
        <w:pBdr>
          <w:top w:val="nil"/>
          <w:left w:val="nil"/>
          <w:bottom w:val="nil"/>
          <w:right w:val="nil"/>
          <w:between w:val="nil"/>
        </w:pBdr>
        <w:spacing w:before="240" w:after="240" w:line="360" w:lineRule="auto"/>
      </w:pPr>
    </w:p>
    <w:p w:rsidR="00DC630A" w:rsidRDefault="00921403">
      <w:pPr>
        <w:pStyle w:val="normal0"/>
        <w:pBdr>
          <w:top w:val="nil"/>
          <w:left w:val="nil"/>
          <w:bottom w:val="nil"/>
          <w:right w:val="nil"/>
          <w:between w:val="nil"/>
        </w:pBdr>
        <w:spacing w:before="240" w:after="240" w:line="360" w:lineRule="auto"/>
        <w:jc w:val="center"/>
        <w:rPr>
          <w:u w:val="single"/>
        </w:rPr>
      </w:pPr>
      <w:r>
        <w:rPr>
          <w:b/>
          <w:u w:val="single"/>
        </w:rPr>
        <w:t>LEY</w:t>
      </w:r>
    </w:p>
    <w:p w:rsidR="00DC630A" w:rsidRDefault="00921403">
      <w:pPr>
        <w:pStyle w:val="normal0"/>
        <w:pBdr>
          <w:top w:val="nil"/>
          <w:left w:val="nil"/>
          <w:bottom w:val="nil"/>
          <w:right w:val="nil"/>
          <w:between w:val="nil"/>
        </w:pBdr>
        <w:spacing w:before="240" w:after="240" w:line="360" w:lineRule="auto"/>
        <w:ind w:firstLine="720"/>
      </w:pPr>
      <w:r>
        <w:rPr>
          <w:b/>
        </w:rPr>
        <w:t>Artículo 1°</w:t>
      </w:r>
      <w:r>
        <w:t>.- Incorpórese el artículo 77 bis al Anexo I del Código Electoral - Ley N° 6031 (texto consolidado Ley N° 6.588), el que quedará redactado de la siguiente forma:</w:t>
      </w:r>
    </w:p>
    <w:p w:rsidR="00DC630A" w:rsidRDefault="00921403">
      <w:pPr>
        <w:pStyle w:val="normal0"/>
        <w:pBdr>
          <w:top w:val="nil"/>
          <w:left w:val="nil"/>
          <w:bottom w:val="nil"/>
          <w:right w:val="nil"/>
          <w:between w:val="nil"/>
        </w:pBdr>
        <w:spacing w:before="240" w:after="240" w:line="360" w:lineRule="auto"/>
        <w:ind w:left="708"/>
      </w:pPr>
      <w:r>
        <w:rPr>
          <w:b/>
        </w:rPr>
        <w:t>Artículo 77 bis.- Ficha Limpia. No pueden ser precandidatos/as a Jefe/a de Gobierno, Vicejefe/a de Gobierno, o Diputado/a de la Ciudad o miembros de la Junta comunal, los condenados por:</w:t>
      </w:r>
    </w:p>
    <w:p w:rsidR="00DC630A" w:rsidRDefault="00921403">
      <w:pPr>
        <w:pStyle w:val="normal0"/>
        <w:pBdr>
          <w:top w:val="nil"/>
          <w:left w:val="nil"/>
          <w:bottom w:val="nil"/>
          <w:right w:val="nil"/>
          <w:between w:val="nil"/>
        </w:pBdr>
        <w:spacing w:before="240" w:after="240" w:line="360" w:lineRule="auto"/>
        <w:ind w:left="1275"/>
      </w:pPr>
      <w:r>
        <w:rPr>
          <w:b/>
        </w:rPr>
        <w:t>1) Delitos contra la integridad sexual comprendidos en los artículos 119°, 120°, 124° a 128°, 130°, 131° y 133° del Título III del Libro Segundo del Código Penal;</w:t>
      </w:r>
    </w:p>
    <w:p w:rsidR="00DC630A" w:rsidRDefault="00921403">
      <w:pPr>
        <w:pStyle w:val="normal0"/>
        <w:pBdr>
          <w:top w:val="nil"/>
          <w:left w:val="nil"/>
          <w:bottom w:val="nil"/>
          <w:right w:val="nil"/>
          <w:between w:val="nil"/>
        </w:pBdr>
        <w:spacing w:before="240" w:after="240" w:line="360" w:lineRule="auto"/>
        <w:ind w:left="1275"/>
      </w:pPr>
      <w:r>
        <w:rPr>
          <w:b/>
        </w:rPr>
        <w:t>2) Delitos contra la administración pública comprendidos en los capítulos VI, VII, VIII, IX, IX bis y XIII del Título XI del Libro Segundo del Código Penal;</w:t>
      </w:r>
    </w:p>
    <w:p w:rsidR="00DC630A" w:rsidRDefault="00921403">
      <w:pPr>
        <w:pStyle w:val="normal0"/>
        <w:pBdr>
          <w:top w:val="nil"/>
          <w:left w:val="nil"/>
          <w:bottom w:val="nil"/>
          <w:right w:val="nil"/>
          <w:between w:val="nil"/>
        </w:pBdr>
        <w:spacing w:before="240" w:after="240" w:line="360" w:lineRule="auto"/>
        <w:ind w:left="1275"/>
      </w:pPr>
      <w:r>
        <w:rPr>
          <w:b/>
        </w:rPr>
        <w:lastRenderedPageBreak/>
        <w:t>3) El delito de fraude en perjuicio de la administración pública contemplado en el artículo 174 inc. 5 del Código Penal;</w:t>
      </w:r>
    </w:p>
    <w:p w:rsidR="00DC630A" w:rsidRDefault="00921403">
      <w:pPr>
        <w:pStyle w:val="normal0"/>
        <w:pBdr>
          <w:top w:val="nil"/>
          <w:left w:val="nil"/>
          <w:bottom w:val="nil"/>
          <w:right w:val="nil"/>
          <w:between w:val="nil"/>
        </w:pBdr>
        <w:spacing w:before="240" w:after="240" w:line="360" w:lineRule="auto"/>
        <w:ind w:left="1275"/>
      </w:pPr>
      <w:r>
        <w:rPr>
          <w:b/>
        </w:rPr>
        <w:t>El supuesto previsto en el presente artículo se extenderá desde que exista sentencia condenatoria en segunda instancia del proceso hasta su eventual revocación posterior, o bien hasta el cumplimiento de la pena correspondiente.</w:t>
      </w:r>
    </w:p>
    <w:p w:rsidR="00DC630A" w:rsidRDefault="00921403">
      <w:pPr>
        <w:pStyle w:val="normal0"/>
        <w:pBdr>
          <w:top w:val="nil"/>
          <w:left w:val="nil"/>
          <w:bottom w:val="nil"/>
          <w:right w:val="nil"/>
          <w:between w:val="nil"/>
        </w:pBdr>
        <w:spacing w:before="240" w:after="240" w:line="360" w:lineRule="auto"/>
      </w:pPr>
      <w:r>
        <w:rPr>
          <w:b/>
        </w:rPr>
        <w:tab/>
      </w:r>
      <w:r>
        <w:t>Los/as precandidatos/as que participen en las elecciones primarias pueden hacerlo en una (1) sola agrupación política y para una (1) sola categoría de cargos electivos. Los/las precandidatos/as que hayan participado en las elecciones primarias por una agrupación política, no pueden intervenir como candidatos/as de otra agrupación política en la elección general.</w:t>
      </w:r>
    </w:p>
    <w:p w:rsidR="00DC630A" w:rsidRDefault="00921403">
      <w:pPr>
        <w:pStyle w:val="normal0"/>
        <w:pBdr>
          <w:top w:val="nil"/>
          <w:left w:val="nil"/>
          <w:bottom w:val="nil"/>
          <w:right w:val="nil"/>
          <w:between w:val="nil"/>
        </w:pBdr>
        <w:spacing w:before="240" w:after="240" w:line="360" w:lineRule="auto"/>
      </w:pPr>
      <w:r>
        <w:rPr>
          <w:b/>
        </w:rPr>
        <w:t>Artículo. 2°</w:t>
      </w:r>
      <w:r>
        <w:t xml:space="preserve">.- </w:t>
      </w:r>
      <w:proofErr w:type="spellStart"/>
      <w:r>
        <w:t>Modifícase</w:t>
      </w:r>
      <w:proofErr w:type="spellEnd"/>
      <w:r>
        <w:t xml:space="preserve"> el artículo 80 del Anexo I del Código Electoral - Ley N° 6031 (texto consolidado Ley N° 6.588), el que quedará redactado de la siguiente forma:</w:t>
      </w:r>
    </w:p>
    <w:p w:rsidR="00DC630A" w:rsidRDefault="00921403">
      <w:pPr>
        <w:pStyle w:val="normal0"/>
        <w:pBdr>
          <w:top w:val="nil"/>
          <w:left w:val="nil"/>
          <w:bottom w:val="nil"/>
          <w:right w:val="nil"/>
          <w:between w:val="nil"/>
        </w:pBdr>
        <w:spacing w:before="240" w:after="240" w:line="360" w:lineRule="auto"/>
        <w:ind w:left="708"/>
      </w:pPr>
      <w:r>
        <w:t xml:space="preserve">Artículo 80.- Pedido de reconocimiento y oficialización de listas de precandidatos/as. Requisitos. Para obtener el reconocimiento, las listas de precandidatos/as intervinientes deben registrarse ante la Junta Electoral de la Agrupación Política, no menos de cincuenta (50) días corridos antes de las elecciones primarias. Para ser oficializadas, las listas de precandidatos/as deberán incluir: </w:t>
      </w:r>
    </w:p>
    <w:p w:rsidR="00DC630A" w:rsidRDefault="00921403">
      <w:pPr>
        <w:pStyle w:val="normal0"/>
        <w:numPr>
          <w:ilvl w:val="0"/>
          <w:numId w:val="2"/>
        </w:numPr>
        <w:pBdr>
          <w:top w:val="nil"/>
          <w:left w:val="nil"/>
          <w:bottom w:val="nil"/>
          <w:right w:val="nil"/>
          <w:between w:val="nil"/>
        </w:pBdr>
        <w:spacing w:before="240" w:line="360" w:lineRule="auto"/>
      </w:pPr>
      <w:r>
        <w:t xml:space="preserve">Nómina de precandidato/a o precandidatos/as igual al número de cargos titulares y suplentes a seleccionar ordenados numéricamente, donde conste apellido, nombre, último domicilio electoral, número de Documento Nacional de Identidad y género. Deberá respetarse el principio de paridad y alternancia de género en la conformación de listas de precandidatos/as para Diputados/as y Miembros de Junta Comunal de forma tal de no incluir a dos (2) personas del mismo género en orden consecutivo. </w:t>
      </w:r>
    </w:p>
    <w:p w:rsidR="00DC630A" w:rsidRDefault="00921403">
      <w:pPr>
        <w:pStyle w:val="normal0"/>
        <w:numPr>
          <w:ilvl w:val="0"/>
          <w:numId w:val="2"/>
        </w:numPr>
        <w:pBdr>
          <w:top w:val="nil"/>
          <w:left w:val="nil"/>
          <w:bottom w:val="nil"/>
          <w:right w:val="nil"/>
          <w:between w:val="nil"/>
        </w:pBdr>
        <w:spacing w:line="360" w:lineRule="auto"/>
      </w:pPr>
      <w:r>
        <w:t xml:space="preserve">Nombre de la agrupación política, identificación numérica y denominación de la lista, la que no podrá contener el nombre de personas. </w:t>
      </w:r>
    </w:p>
    <w:p w:rsidR="00DC630A" w:rsidRDefault="00921403">
      <w:pPr>
        <w:pStyle w:val="normal0"/>
        <w:numPr>
          <w:ilvl w:val="0"/>
          <w:numId w:val="2"/>
        </w:numPr>
        <w:pBdr>
          <w:top w:val="nil"/>
          <w:left w:val="nil"/>
          <w:bottom w:val="nil"/>
          <w:right w:val="nil"/>
          <w:between w:val="nil"/>
        </w:pBdr>
        <w:spacing w:line="360" w:lineRule="auto"/>
      </w:pPr>
      <w:r>
        <w:t xml:space="preserve">Constancias de aceptación de la postulación, conforme al texto que apruebe el Tribunal Electoral, con copia del Documento Nacional de Identidad donde conste fotografía, datos personales y domicilio de los/as precandidatos/as. </w:t>
      </w:r>
    </w:p>
    <w:p w:rsidR="00DC630A" w:rsidRDefault="00921403">
      <w:pPr>
        <w:pStyle w:val="normal0"/>
        <w:numPr>
          <w:ilvl w:val="0"/>
          <w:numId w:val="2"/>
        </w:numPr>
        <w:pBdr>
          <w:top w:val="nil"/>
          <w:left w:val="nil"/>
          <w:bottom w:val="nil"/>
          <w:right w:val="nil"/>
          <w:between w:val="nil"/>
        </w:pBdr>
        <w:spacing w:line="360" w:lineRule="auto"/>
      </w:pPr>
      <w:r>
        <w:t xml:space="preserve">Declaración Jurada de cada uno/a de los/as precandidatos/as, que acredite el cumplimiento de los requisitos constitucionales y legales pertinentes. </w:t>
      </w:r>
    </w:p>
    <w:p w:rsidR="00DC630A" w:rsidRDefault="00921403">
      <w:pPr>
        <w:pStyle w:val="normal0"/>
        <w:numPr>
          <w:ilvl w:val="0"/>
          <w:numId w:val="2"/>
        </w:numPr>
        <w:pBdr>
          <w:top w:val="nil"/>
          <w:left w:val="nil"/>
          <w:bottom w:val="nil"/>
          <w:right w:val="nil"/>
          <w:between w:val="nil"/>
        </w:pBdr>
        <w:spacing w:line="360" w:lineRule="auto"/>
      </w:pPr>
      <w:r>
        <w:t>Acreditación de la residencia exigida en los casos que corresponda, la cual podrá ser acreditada por cualquier medio de prueba, excepto la testimonial, siempre que figuren inscriptos en el registro de electores/as del distrito.</w:t>
      </w:r>
    </w:p>
    <w:p w:rsidR="00DC630A" w:rsidRDefault="00921403">
      <w:pPr>
        <w:pStyle w:val="normal0"/>
        <w:numPr>
          <w:ilvl w:val="0"/>
          <w:numId w:val="2"/>
        </w:numPr>
        <w:pBdr>
          <w:top w:val="nil"/>
          <w:left w:val="nil"/>
          <w:bottom w:val="nil"/>
          <w:right w:val="nil"/>
          <w:between w:val="nil"/>
        </w:pBdr>
        <w:spacing w:line="360" w:lineRule="auto"/>
      </w:pPr>
      <w:r>
        <w:lastRenderedPageBreak/>
        <w:t xml:space="preserve">Designación de apoderados/as de lista y un/a (1) responsable económico financiero de lista con indicación de nombre, apellido, Documento Nacional de Identidad, teléfono, domicilio constituido y correo electrónico de cada uno/a de ellos/as. </w:t>
      </w:r>
    </w:p>
    <w:p w:rsidR="00DC630A" w:rsidRDefault="00921403">
      <w:pPr>
        <w:pStyle w:val="normal0"/>
        <w:numPr>
          <w:ilvl w:val="0"/>
          <w:numId w:val="2"/>
        </w:numPr>
        <w:pBdr>
          <w:top w:val="nil"/>
          <w:left w:val="nil"/>
          <w:bottom w:val="nil"/>
          <w:right w:val="nil"/>
          <w:between w:val="nil"/>
        </w:pBdr>
        <w:spacing w:line="360" w:lineRule="auto"/>
      </w:pPr>
      <w:r>
        <w:t xml:space="preserve">Las adhesiones que avalen a listas de precandidatos/as a Jefe/a de Gobierno, Diputados/as y Miembros de las juntas comunales deberán estar certificadas de acuerdo con lo establecido en el artículo 76 del presente Código y contener: nombre y apellido, número de Documento Nacional de Identidad, domicilio, correo electrónico, y firma del adherente, así como también la denominación de la lista a la que adhiere. </w:t>
      </w:r>
    </w:p>
    <w:p w:rsidR="00DC630A" w:rsidRDefault="00921403">
      <w:pPr>
        <w:pStyle w:val="normal0"/>
        <w:numPr>
          <w:ilvl w:val="0"/>
          <w:numId w:val="2"/>
        </w:numPr>
        <w:pBdr>
          <w:top w:val="nil"/>
          <w:left w:val="nil"/>
          <w:bottom w:val="nil"/>
          <w:right w:val="nil"/>
          <w:between w:val="nil"/>
        </w:pBdr>
        <w:spacing w:line="360" w:lineRule="auto"/>
      </w:pPr>
      <w:r>
        <w:t xml:space="preserve">Plataforma programática y declaración del medio por el cual se difundirá. Toda la documentación detallada deberá ser presentada con un respaldo en soporte digital ante la Junta Electoral de la Agrupación Política. </w:t>
      </w:r>
    </w:p>
    <w:p w:rsidR="00DC630A" w:rsidRDefault="00921403">
      <w:pPr>
        <w:pStyle w:val="normal0"/>
        <w:numPr>
          <w:ilvl w:val="0"/>
          <w:numId w:val="2"/>
        </w:numPr>
        <w:pBdr>
          <w:top w:val="nil"/>
          <w:left w:val="nil"/>
          <w:bottom w:val="nil"/>
          <w:right w:val="nil"/>
          <w:between w:val="nil"/>
        </w:pBdr>
        <w:spacing w:after="240" w:line="360" w:lineRule="auto"/>
      </w:pPr>
      <w:r>
        <w:rPr>
          <w:b/>
        </w:rPr>
        <w:t>Certificado de Antecedentes Penales emitido por el Registro Nacional de Reincidencia en el caso de precandidatos/as a Jefe/a de Gobierno, Vicejefe/a de Gobierno, o Diputados/as de la Ciudad o miembros de la Junta Comunal</w:t>
      </w:r>
      <w:r>
        <w:t xml:space="preserve">. </w:t>
      </w:r>
    </w:p>
    <w:p w:rsidR="00DC630A" w:rsidRDefault="00921403">
      <w:pPr>
        <w:pStyle w:val="normal0"/>
        <w:pBdr>
          <w:top w:val="nil"/>
          <w:left w:val="nil"/>
          <w:bottom w:val="nil"/>
          <w:right w:val="nil"/>
          <w:between w:val="nil"/>
        </w:pBdr>
        <w:spacing w:before="240" w:after="240" w:line="360" w:lineRule="auto"/>
      </w:pPr>
      <w:r>
        <w:t>Dentro de las veinticuatro (24) horas de vencido el plazo para la presentación de listas, deberán presentarse las fotos de los/as precandidatos/as ante la Junta Electoral de la Agrupación Política, conforme lo establezca la reglamentación pertinente.</w:t>
      </w:r>
    </w:p>
    <w:p w:rsidR="00DC630A" w:rsidRDefault="00921403">
      <w:pPr>
        <w:pStyle w:val="normal0"/>
        <w:pBdr>
          <w:top w:val="nil"/>
          <w:left w:val="nil"/>
          <w:bottom w:val="nil"/>
          <w:right w:val="nil"/>
          <w:between w:val="nil"/>
        </w:pBdr>
        <w:spacing w:before="240" w:after="240" w:line="360" w:lineRule="auto"/>
      </w:pPr>
      <w:r>
        <w:rPr>
          <w:b/>
        </w:rPr>
        <w:t>Artículo. 3°</w:t>
      </w:r>
      <w:r>
        <w:t xml:space="preserve">.- </w:t>
      </w:r>
      <w:proofErr w:type="spellStart"/>
      <w:r>
        <w:t>Modifícase</w:t>
      </w:r>
      <w:proofErr w:type="spellEnd"/>
      <w:r>
        <w:t xml:space="preserve"> el artículo 103 del Anexo I del Código Electoral - Ley N° 6031 (texto consolidado Ley N° 6.588), el que quedará redactado de la siguiente forma:</w:t>
      </w:r>
    </w:p>
    <w:p w:rsidR="00DC630A" w:rsidRDefault="00921403">
      <w:pPr>
        <w:pStyle w:val="normal0"/>
        <w:pBdr>
          <w:top w:val="nil"/>
          <w:left w:val="nil"/>
          <w:bottom w:val="nil"/>
          <w:right w:val="nil"/>
          <w:between w:val="nil"/>
        </w:pBdr>
        <w:spacing w:before="240" w:after="240" w:line="360" w:lineRule="auto"/>
        <w:ind w:left="708"/>
      </w:pPr>
      <w:r>
        <w:t xml:space="preserve">Artículo 103.- Presentación del pedido de oficialización de listas. Junto con el pedido de oficialización de listas, al menos de cincuenta (50) días corridos antes de las elecciones generales, las agrupaciones políticas presentarán ante el Tribunal Electoral, con respaldo en soporte digital, lo siguiente: </w:t>
      </w:r>
    </w:p>
    <w:p w:rsidR="00DC630A" w:rsidRDefault="00921403">
      <w:pPr>
        <w:pStyle w:val="normal0"/>
        <w:numPr>
          <w:ilvl w:val="0"/>
          <w:numId w:val="1"/>
        </w:numPr>
        <w:pBdr>
          <w:top w:val="nil"/>
          <w:left w:val="nil"/>
          <w:bottom w:val="nil"/>
          <w:right w:val="nil"/>
          <w:between w:val="nil"/>
        </w:pBdr>
        <w:spacing w:before="240" w:line="360" w:lineRule="auto"/>
        <w:ind w:left="1417" w:hanging="283"/>
      </w:pPr>
      <w:r>
        <w:t xml:space="preserve">Una nómina de candidatos/as igual al número de cargos titulares y suplentes a seleccionar ordenados numéricamente donde conste apellido, nombre, número de Documento Nacional de Identidad, último domicilio electoral y género. </w:t>
      </w:r>
    </w:p>
    <w:p w:rsidR="00DC630A" w:rsidRDefault="00921403">
      <w:pPr>
        <w:pStyle w:val="normal0"/>
        <w:numPr>
          <w:ilvl w:val="0"/>
          <w:numId w:val="1"/>
        </w:numPr>
        <w:pBdr>
          <w:top w:val="nil"/>
          <w:left w:val="nil"/>
          <w:bottom w:val="nil"/>
          <w:right w:val="nil"/>
          <w:between w:val="nil"/>
        </w:pBdr>
        <w:spacing w:line="360" w:lineRule="auto"/>
        <w:ind w:left="1417" w:hanging="283"/>
      </w:pPr>
      <w:r>
        <w:t xml:space="preserve">Constancias de aceptación de la postulación, de acuerdo al texto que apruebe el Tribunal Electoral, con copia del Documento Nacional de Identidad donde consten fotografía, datos personales y domicilio de los/as candidatos/as. </w:t>
      </w:r>
    </w:p>
    <w:p w:rsidR="00DC630A" w:rsidRDefault="00921403">
      <w:pPr>
        <w:pStyle w:val="normal0"/>
        <w:numPr>
          <w:ilvl w:val="0"/>
          <w:numId w:val="1"/>
        </w:numPr>
        <w:pBdr>
          <w:top w:val="nil"/>
          <w:left w:val="nil"/>
          <w:bottom w:val="nil"/>
          <w:right w:val="nil"/>
          <w:between w:val="nil"/>
        </w:pBdr>
        <w:spacing w:line="360" w:lineRule="auto"/>
        <w:ind w:left="1417" w:hanging="283"/>
      </w:pPr>
      <w:r>
        <w:t xml:space="preserve">Declaración jurada de cada uno de los/las candidatos/as que acredite el cumplimiento de los requisitos constitucionales y legales pertinentes. </w:t>
      </w:r>
    </w:p>
    <w:p w:rsidR="00DC630A" w:rsidRDefault="00921403">
      <w:pPr>
        <w:pStyle w:val="normal0"/>
        <w:numPr>
          <w:ilvl w:val="0"/>
          <w:numId w:val="1"/>
        </w:numPr>
        <w:pBdr>
          <w:top w:val="nil"/>
          <w:left w:val="nil"/>
          <w:bottom w:val="nil"/>
          <w:right w:val="nil"/>
          <w:between w:val="nil"/>
        </w:pBdr>
        <w:spacing w:line="360" w:lineRule="auto"/>
        <w:ind w:left="1417" w:hanging="283"/>
      </w:pPr>
      <w:r>
        <w:t xml:space="preserve">Declaración Jurada Patrimonial de los/las candidatos/as Titulares de la lista, de acuerdo con el detalle establecido en el artículo 104. </w:t>
      </w:r>
    </w:p>
    <w:p w:rsidR="00DC630A" w:rsidRDefault="00921403">
      <w:pPr>
        <w:pStyle w:val="normal0"/>
        <w:numPr>
          <w:ilvl w:val="0"/>
          <w:numId w:val="1"/>
        </w:numPr>
        <w:pBdr>
          <w:top w:val="nil"/>
          <w:left w:val="nil"/>
          <w:bottom w:val="nil"/>
          <w:right w:val="nil"/>
          <w:between w:val="nil"/>
        </w:pBdr>
        <w:spacing w:line="360" w:lineRule="auto"/>
        <w:ind w:left="1417" w:hanging="283"/>
      </w:pPr>
      <w:r>
        <w:lastRenderedPageBreak/>
        <w:t xml:space="preserve">Constancia pertinente que acredite la residencia exigida de los/las candidatos/as, en los casos en que corresponda, la cual podrá ser acreditada por cualquier medio de prueba, excepto la testimonial, siempre que figuren inscriptos en el registro de electores del distrito. </w:t>
      </w:r>
    </w:p>
    <w:p w:rsidR="00DC630A" w:rsidRDefault="00921403">
      <w:pPr>
        <w:pStyle w:val="normal0"/>
        <w:numPr>
          <w:ilvl w:val="0"/>
          <w:numId w:val="1"/>
        </w:numPr>
        <w:pBdr>
          <w:top w:val="nil"/>
          <w:left w:val="nil"/>
          <w:bottom w:val="nil"/>
          <w:right w:val="nil"/>
          <w:between w:val="nil"/>
        </w:pBdr>
        <w:spacing w:line="360" w:lineRule="auto"/>
        <w:ind w:left="1417" w:hanging="283"/>
      </w:pPr>
      <w:r>
        <w:t xml:space="preserve">Designación de apoderado/a o apoderados/as de lista, consignando Documento Nacional de Identidad, teléfono, domicilio constituido y correo electrónico. </w:t>
      </w:r>
    </w:p>
    <w:p w:rsidR="00DC630A" w:rsidRDefault="00921403">
      <w:pPr>
        <w:pStyle w:val="normal0"/>
        <w:numPr>
          <w:ilvl w:val="0"/>
          <w:numId w:val="1"/>
        </w:numPr>
        <w:pBdr>
          <w:top w:val="nil"/>
          <w:left w:val="nil"/>
          <w:bottom w:val="nil"/>
          <w:right w:val="nil"/>
          <w:between w:val="nil"/>
        </w:pBdr>
        <w:spacing w:after="240" w:line="360" w:lineRule="auto"/>
        <w:ind w:left="1417" w:hanging="283"/>
      </w:pPr>
      <w:r>
        <w:rPr>
          <w:b/>
        </w:rPr>
        <w:t>Certificado de Antecedentes Penales emitido por el Registro Nacional de Reincidencia en el caso de precandidatos/as a Jefe/a de Gobierno, Vicejefe/a de Gobierno, o Diputados/as de la Ciudad o miembros de la Junta Comunal</w:t>
      </w:r>
      <w:r>
        <w:t xml:space="preserve">. </w:t>
      </w:r>
    </w:p>
    <w:p w:rsidR="00DC630A" w:rsidRDefault="00921403">
      <w:pPr>
        <w:pStyle w:val="normal0"/>
        <w:pBdr>
          <w:top w:val="nil"/>
          <w:left w:val="nil"/>
          <w:bottom w:val="nil"/>
          <w:right w:val="nil"/>
          <w:between w:val="nil"/>
        </w:pBdr>
        <w:spacing w:before="240" w:after="240" w:line="360" w:lineRule="auto"/>
      </w:pPr>
      <w:r>
        <w:t>El Tribunal Electoral controla de oficio el cumplimiento de los requisitos previo a la oficialización de cada lista de candidatos/as. No será oficializada ninguna lista que no cumpla estos requisitos, ni que incluya candidatos/as que no hubieran resultado electos/as en las elecciones primarias por la misma agrupación política y por la misma categoría por la que se presentan, excepto en el caso de la candidatura de Vicejefe/a de Gobierno, de acuerdo con lo establecido en el artículo 99 y en el caso de renuncia, fallecimiento o incapacidad conforme lo dispuesto en el presente Código. Si la omisión en el pedido de oficialización refiere a la Declaración Jurada Patrimonial prevista en el inciso 4) del presente artículo o al Certificado de Antecedentes Penales previsto en el inciso 7), la lista será oficializada reemplazando al/la candidato/a a quien correspondiera la Declaración Jurada omitida o al Certificado de Antecedentes Penales omitido, mediante los mecanismos previstos en los artículos 107, 108 o 109.</w:t>
      </w:r>
    </w:p>
    <w:p w:rsidR="00DC630A" w:rsidRDefault="00921403">
      <w:pPr>
        <w:pStyle w:val="normal0"/>
        <w:pBdr>
          <w:top w:val="nil"/>
          <w:left w:val="nil"/>
          <w:bottom w:val="nil"/>
          <w:right w:val="nil"/>
          <w:between w:val="nil"/>
        </w:pBdr>
        <w:spacing w:before="240" w:after="240" w:line="360" w:lineRule="auto"/>
      </w:pPr>
      <w:r>
        <w:rPr>
          <w:b/>
        </w:rPr>
        <w:t>De advertirse, con posterioridad a las elecciones, que algún/a candidato/a electo/a registra antecedentes por los delitos enumerados en los artículos 77 y 77 bis, la situación será inmediatamente comunicada a la Legislatura de la Ciudad Autónoma de Buenos Aires en los términos del artículo 92 de la Constitución de la Ciudad de Buenos Aires</w:t>
      </w:r>
      <w:r>
        <w:t>.</w:t>
      </w:r>
    </w:p>
    <w:p w:rsidR="00DC630A" w:rsidRDefault="00921403">
      <w:pPr>
        <w:pStyle w:val="normal0"/>
        <w:pBdr>
          <w:top w:val="nil"/>
          <w:left w:val="nil"/>
          <w:bottom w:val="nil"/>
          <w:right w:val="nil"/>
          <w:between w:val="nil"/>
        </w:pBdr>
        <w:spacing w:before="240" w:after="240" w:line="360" w:lineRule="auto"/>
      </w:pPr>
      <w:r>
        <w:t>Art. 4°.- Comuníquese, etc.</w:t>
      </w:r>
    </w:p>
    <w:p w:rsidR="00DC630A" w:rsidRDefault="00921403">
      <w:pPr>
        <w:pStyle w:val="normal0"/>
        <w:pBdr>
          <w:top w:val="nil"/>
          <w:left w:val="nil"/>
          <w:bottom w:val="nil"/>
          <w:right w:val="nil"/>
          <w:between w:val="nil"/>
        </w:pBdr>
        <w:spacing w:line="360" w:lineRule="auto"/>
        <w:jc w:val="right"/>
      </w:pPr>
      <w:r>
        <w:rPr>
          <w:b/>
        </w:rPr>
        <w:t xml:space="preserve"> Sala de la Comisión de Asuntos Constitucionales:      de Octubre de 2024</w:t>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ind w:left="3828"/>
      </w:pPr>
    </w:p>
    <w:p w:rsidR="00DC630A" w:rsidRDefault="00921403">
      <w:pPr>
        <w:pStyle w:val="normal0"/>
        <w:pBdr>
          <w:top w:val="nil"/>
          <w:left w:val="nil"/>
          <w:bottom w:val="nil"/>
          <w:right w:val="nil"/>
          <w:between w:val="nil"/>
        </w:pBdr>
        <w:spacing w:line="360" w:lineRule="auto"/>
        <w:ind w:left="3828"/>
      </w:pPr>
      <w:r>
        <w:t xml:space="preserve">                                         Hernán Reyes</w:t>
      </w:r>
    </w:p>
    <w:p w:rsidR="00DC630A" w:rsidRDefault="00921403">
      <w:pPr>
        <w:pStyle w:val="normal0"/>
        <w:pBdr>
          <w:top w:val="nil"/>
          <w:left w:val="nil"/>
          <w:bottom w:val="nil"/>
          <w:right w:val="nil"/>
          <w:between w:val="nil"/>
        </w:pBdr>
        <w:spacing w:line="360" w:lineRule="auto"/>
        <w:ind w:left="3828"/>
      </w:pPr>
      <w:r>
        <w:tab/>
      </w:r>
      <w:r>
        <w:tab/>
        <w:t xml:space="preserve">                         Presidente</w:t>
      </w:r>
    </w:p>
    <w:p w:rsidR="00DC630A" w:rsidRDefault="00DC630A">
      <w:pPr>
        <w:pStyle w:val="normal0"/>
        <w:pBdr>
          <w:top w:val="nil"/>
          <w:left w:val="nil"/>
          <w:bottom w:val="nil"/>
          <w:right w:val="nil"/>
          <w:between w:val="nil"/>
        </w:pBdr>
        <w:tabs>
          <w:tab w:val="left" w:pos="4962"/>
        </w:tabs>
        <w:spacing w:line="360" w:lineRule="auto"/>
      </w:pPr>
    </w:p>
    <w:p w:rsidR="00DC630A" w:rsidRDefault="00DC630A">
      <w:pPr>
        <w:pStyle w:val="normal0"/>
        <w:pBdr>
          <w:top w:val="nil"/>
          <w:left w:val="nil"/>
          <w:bottom w:val="nil"/>
          <w:right w:val="nil"/>
          <w:between w:val="nil"/>
        </w:pBdr>
        <w:tabs>
          <w:tab w:val="left" w:pos="4962"/>
        </w:tabs>
        <w:spacing w:line="360" w:lineRule="auto"/>
      </w:pPr>
    </w:p>
    <w:p w:rsidR="00DC630A" w:rsidRDefault="00921403">
      <w:pPr>
        <w:pStyle w:val="normal0"/>
        <w:pBdr>
          <w:top w:val="nil"/>
          <w:left w:val="nil"/>
          <w:bottom w:val="nil"/>
          <w:right w:val="nil"/>
          <w:between w:val="nil"/>
        </w:pBdr>
        <w:tabs>
          <w:tab w:val="left" w:pos="4962"/>
        </w:tabs>
        <w:spacing w:line="360" w:lineRule="auto"/>
      </w:pPr>
      <w:r>
        <w:t xml:space="preserve">María Inés </w:t>
      </w:r>
      <w:proofErr w:type="spellStart"/>
      <w:r>
        <w:t>Parry</w:t>
      </w:r>
      <w:proofErr w:type="spellEnd"/>
      <w:r>
        <w:tab/>
        <w:t xml:space="preserve">                  Graciana Peñafort</w:t>
      </w:r>
    </w:p>
    <w:p w:rsidR="00DC630A" w:rsidRDefault="00921403">
      <w:pPr>
        <w:pStyle w:val="normal0"/>
        <w:pBdr>
          <w:top w:val="nil"/>
          <w:left w:val="nil"/>
          <w:bottom w:val="nil"/>
          <w:right w:val="nil"/>
          <w:between w:val="nil"/>
        </w:pBdr>
        <w:tabs>
          <w:tab w:val="left" w:pos="5400"/>
        </w:tabs>
        <w:spacing w:line="360" w:lineRule="auto"/>
      </w:pPr>
      <w:r>
        <w:t>Vicepresidente 1º</w:t>
      </w:r>
      <w:r>
        <w:tab/>
      </w:r>
      <w:r>
        <w:tab/>
        <w:t xml:space="preserve">       Vicepresidente 2º</w:t>
      </w:r>
    </w:p>
    <w:p w:rsidR="00DC630A" w:rsidRDefault="00DC630A">
      <w:pPr>
        <w:pStyle w:val="normal0"/>
        <w:pBdr>
          <w:top w:val="nil"/>
          <w:left w:val="nil"/>
          <w:bottom w:val="nil"/>
          <w:right w:val="nil"/>
          <w:between w:val="nil"/>
        </w:pBdr>
        <w:tabs>
          <w:tab w:val="left" w:pos="4962"/>
        </w:tabs>
        <w:spacing w:line="360" w:lineRule="auto"/>
      </w:pPr>
    </w:p>
    <w:p w:rsidR="00DC630A" w:rsidRDefault="00DC630A">
      <w:pPr>
        <w:pStyle w:val="normal0"/>
        <w:pBdr>
          <w:top w:val="nil"/>
          <w:left w:val="nil"/>
          <w:bottom w:val="nil"/>
          <w:right w:val="nil"/>
          <w:between w:val="nil"/>
        </w:pBdr>
        <w:tabs>
          <w:tab w:val="left" w:pos="5529"/>
        </w:tabs>
        <w:spacing w:line="360" w:lineRule="auto"/>
      </w:pPr>
    </w:p>
    <w:p w:rsidR="00DC630A" w:rsidRDefault="00921403">
      <w:pPr>
        <w:pStyle w:val="normal0"/>
        <w:pBdr>
          <w:top w:val="nil"/>
          <w:left w:val="nil"/>
          <w:bottom w:val="nil"/>
          <w:right w:val="nil"/>
          <w:between w:val="nil"/>
        </w:pBdr>
        <w:tabs>
          <w:tab w:val="left" w:pos="5529"/>
        </w:tabs>
        <w:spacing w:line="360" w:lineRule="auto"/>
      </w:pPr>
      <w:r>
        <w:t xml:space="preserve"> </w:t>
      </w:r>
    </w:p>
    <w:p w:rsidR="00DC630A" w:rsidRDefault="00921403">
      <w:pPr>
        <w:pStyle w:val="normal0"/>
        <w:pBdr>
          <w:top w:val="nil"/>
          <w:left w:val="nil"/>
          <w:bottom w:val="nil"/>
          <w:right w:val="nil"/>
          <w:between w:val="nil"/>
        </w:pBdr>
        <w:tabs>
          <w:tab w:val="left" w:pos="5529"/>
        </w:tabs>
        <w:spacing w:line="360" w:lineRule="auto"/>
      </w:pPr>
      <w:r>
        <w:t>Velázquez, Delfina                                                                           Reta, Jorge</w:t>
      </w:r>
      <w:r>
        <w:tab/>
      </w:r>
      <w:r>
        <w:tab/>
      </w:r>
      <w:r>
        <w:tab/>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921403">
      <w:pPr>
        <w:pStyle w:val="normal0"/>
        <w:pBdr>
          <w:top w:val="nil"/>
          <w:left w:val="nil"/>
          <w:bottom w:val="nil"/>
          <w:right w:val="nil"/>
          <w:between w:val="nil"/>
        </w:pBdr>
        <w:spacing w:line="360" w:lineRule="auto"/>
      </w:pPr>
      <w:r>
        <w:t xml:space="preserve"> Santoro, </w:t>
      </w:r>
      <w:proofErr w:type="spellStart"/>
      <w:r>
        <w:t>Yamil</w:t>
      </w:r>
      <w:proofErr w:type="spellEnd"/>
      <w:r>
        <w:tab/>
      </w:r>
      <w:r>
        <w:tab/>
      </w:r>
      <w:r>
        <w:tab/>
      </w:r>
      <w:r>
        <w:tab/>
      </w:r>
      <w:r>
        <w:tab/>
      </w:r>
      <w:r>
        <w:tab/>
        <w:t xml:space="preserve">          Ferrero, María Cecilia</w:t>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921403">
      <w:pPr>
        <w:pStyle w:val="normal0"/>
        <w:pBdr>
          <w:top w:val="nil"/>
          <w:left w:val="nil"/>
          <w:bottom w:val="nil"/>
          <w:right w:val="nil"/>
          <w:between w:val="nil"/>
        </w:pBdr>
        <w:spacing w:line="360" w:lineRule="auto"/>
      </w:pPr>
      <w:proofErr w:type="spellStart"/>
      <w:r>
        <w:t>Vitali</w:t>
      </w:r>
      <w:proofErr w:type="spellEnd"/>
      <w:r>
        <w:t>, Franco</w:t>
      </w:r>
      <w:r>
        <w:tab/>
      </w:r>
      <w:r>
        <w:tab/>
        <w:t xml:space="preserve"> </w:t>
      </w:r>
      <w:r>
        <w:tab/>
      </w:r>
      <w:r>
        <w:tab/>
      </w:r>
      <w:r>
        <w:tab/>
      </w:r>
      <w:r>
        <w:tab/>
      </w:r>
      <w:r>
        <w:tab/>
        <w:t xml:space="preserve">          </w:t>
      </w:r>
      <w:proofErr w:type="spellStart"/>
      <w:r>
        <w:t>Thourte</w:t>
      </w:r>
      <w:proofErr w:type="spellEnd"/>
      <w:r>
        <w:t>, Manuela</w:t>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921403">
      <w:pPr>
        <w:pStyle w:val="normal0"/>
        <w:pBdr>
          <w:top w:val="nil"/>
          <w:left w:val="nil"/>
          <w:bottom w:val="nil"/>
          <w:right w:val="nil"/>
          <w:between w:val="nil"/>
        </w:pBdr>
        <w:spacing w:line="360" w:lineRule="auto"/>
      </w:pPr>
      <w:proofErr w:type="spellStart"/>
      <w:r>
        <w:t>Villafruela</w:t>
      </w:r>
      <w:proofErr w:type="spellEnd"/>
      <w:r>
        <w:t xml:space="preserve">, </w:t>
      </w:r>
      <w:proofErr w:type="spellStart"/>
      <w:r>
        <w:t>Gimena</w:t>
      </w:r>
      <w:proofErr w:type="spellEnd"/>
      <w:r>
        <w:t xml:space="preserve">                                                                          González </w:t>
      </w:r>
      <w:proofErr w:type="spellStart"/>
      <w:r>
        <w:t>Estevarena</w:t>
      </w:r>
      <w:proofErr w:type="spellEnd"/>
      <w:r>
        <w:t>, María Luisa</w:t>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921403">
      <w:pPr>
        <w:pStyle w:val="normal0"/>
        <w:pBdr>
          <w:top w:val="nil"/>
          <w:left w:val="nil"/>
          <w:bottom w:val="nil"/>
          <w:right w:val="nil"/>
          <w:between w:val="nil"/>
        </w:pBdr>
        <w:spacing w:line="360" w:lineRule="auto"/>
      </w:pPr>
      <w:proofErr w:type="spellStart"/>
      <w:r>
        <w:t>Michielotto</w:t>
      </w:r>
      <w:proofErr w:type="spellEnd"/>
      <w:r>
        <w:t xml:space="preserve">, Paola                                                                             </w:t>
      </w:r>
      <w:proofErr w:type="spellStart"/>
      <w:r>
        <w:t>Fleitas</w:t>
      </w:r>
      <w:proofErr w:type="spellEnd"/>
      <w:r>
        <w:t>, Rebeca</w:t>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921403">
      <w:pPr>
        <w:pStyle w:val="normal0"/>
        <w:pBdr>
          <w:top w:val="nil"/>
          <w:left w:val="nil"/>
          <w:bottom w:val="nil"/>
          <w:right w:val="nil"/>
          <w:between w:val="nil"/>
        </w:pBdr>
        <w:spacing w:line="360" w:lineRule="auto"/>
      </w:pPr>
      <w:r>
        <w:t xml:space="preserve">Arenaza, Juan Pablo                                                                       </w:t>
      </w:r>
      <w:r>
        <w:tab/>
        <w:t>Ocaña, María Graciela</w:t>
      </w: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DC630A">
      <w:pPr>
        <w:pStyle w:val="normal0"/>
        <w:pBdr>
          <w:top w:val="nil"/>
          <w:left w:val="nil"/>
          <w:bottom w:val="nil"/>
          <w:right w:val="nil"/>
          <w:between w:val="nil"/>
        </w:pBdr>
        <w:spacing w:line="360" w:lineRule="auto"/>
      </w:pPr>
    </w:p>
    <w:p w:rsidR="00DC630A" w:rsidRDefault="00DC630A">
      <w:pPr>
        <w:pStyle w:val="normal0"/>
        <w:jc w:val="right"/>
      </w:pPr>
    </w:p>
    <w:sectPr w:rsidR="00DC630A" w:rsidSect="00DC630A">
      <w:headerReference w:type="default" r:id="rId8"/>
      <w:footerReference w:type="default" r:id="rId9"/>
      <w:pgSz w:w="12242" w:h="20163"/>
      <w:pgMar w:top="3686" w:right="851" w:bottom="1418" w:left="1418"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087" w:rsidRDefault="00CF6087" w:rsidP="00BB38DF">
      <w:pPr>
        <w:spacing w:line="240" w:lineRule="auto"/>
        <w:ind w:left="0" w:hanging="2"/>
      </w:pPr>
      <w:r>
        <w:separator/>
      </w:r>
    </w:p>
  </w:endnote>
  <w:endnote w:type="continuationSeparator" w:id="0">
    <w:p w:rsidR="00CF6087" w:rsidRDefault="00CF6087" w:rsidP="00BB38DF">
      <w:pPr>
        <w:spacing w:line="240" w:lineRule="auto"/>
        <w:ind w:left="0" w:hanging="2"/>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0A" w:rsidRDefault="00DC630A">
    <w:pPr>
      <w:pStyle w:val="normal0"/>
      <w:pBdr>
        <w:top w:val="nil"/>
        <w:left w:val="nil"/>
        <w:bottom w:val="nil"/>
        <w:right w:val="nil"/>
        <w:between w:val="nil"/>
      </w:pBdr>
      <w:rPr>
        <w:color w:val="000000"/>
        <w:sz w:val="20"/>
        <w:szCs w:val="20"/>
      </w:rPr>
    </w:pPr>
    <w:bookmarkStart w:id="0" w:name="bookmark=id.gjdgxs" w:colFirst="0" w:colLast="0"/>
    <w:bookmarkEnd w:id="0"/>
  </w:p>
  <w:p w:rsidR="00DC630A" w:rsidRDefault="00921403">
    <w:pPr>
      <w:pStyle w:val="normal0"/>
      <w:pBdr>
        <w:top w:val="nil"/>
        <w:left w:val="nil"/>
        <w:bottom w:val="nil"/>
        <w:right w:val="nil"/>
        <w:between w:val="nil"/>
      </w:pBdr>
      <w:jc w:val="center"/>
      <w:rPr>
        <w:color w:val="000000"/>
        <w:sz w:val="20"/>
        <w:szCs w:val="20"/>
      </w:rPr>
    </w:pPr>
    <w:r>
      <w:rPr>
        <w:color w:val="000000"/>
        <w:sz w:val="20"/>
        <w:szCs w:val="20"/>
      </w:rPr>
      <w:t>Último cambio: 02/10/2024 10:17:00  -  Cantidad de caracteres: 5405 - Cantidad de palabras: 1002</w:t>
    </w:r>
  </w:p>
  <w:p w:rsidR="00DC630A" w:rsidRDefault="00921403">
    <w:pPr>
      <w:pStyle w:val="normal0"/>
      <w:pBdr>
        <w:top w:val="nil"/>
        <w:left w:val="nil"/>
        <w:bottom w:val="nil"/>
        <w:right w:val="nil"/>
        <w:between w:val="nil"/>
      </w:pBdr>
      <w:jc w:val="center"/>
      <w:rPr>
        <w:color w:val="000000"/>
      </w:rPr>
    </w:pPr>
    <w:r>
      <w:rPr>
        <w:color w:val="000000"/>
        <w:sz w:val="20"/>
        <w:szCs w:val="20"/>
      </w:rPr>
      <w:tab/>
      <w:t>Pág.</w:t>
    </w:r>
    <w:r>
      <w:rPr>
        <w:color w:val="000000"/>
      </w:rPr>
      <w:t xml:space="preserve"> </w:t>
    </w:r>
    <w:r w:rsidR="007D203E">
      <w:rPr>
        <w:color w:val="000000"/>
      </w:rPr>
      <w:fldChar w:fldCharType="begin"/>
    </w:r>
    <w:r>
      <w:rPr>
        <w:color w:val="000000"/>
      </w:rPr>
      <w:instrText>PAGE</w:instrText>
    </w:r>
    <w:r w:rsidR="007D203E">
      <w:rPr>
        <w:color w:val="000000"/>
      </w:rPr>
      <w:fldChar w:fldCharType="separate"/>
    </w:r>
    <w:r w:rsidR="00521144">
      <w:rPr>
        <w:noProof/>
        <w:color w:val="000000"/>
      </w:rPr>
      <w:t>6</w:t>
    </w:r>
    <w:r w:rsidR="007D203E">
      <w:rPr>
        <w:color w:val="000000"/>
      </w:rPr>
      <w:fldChar w:fldCharType="end"/>
    </w:r>
    <w:r>
      <w:rPr>
        <w:color w:val="000000"/>
      </w:rPr>
      <w:t>/</w:t>
    </w:r>
    <w:r w:rsidR="007D203E">
      <w:rPr>
        <w:color w:val="000000"/>
      </w:rPr>
      <w:fldChar w:fldCharType="begin"/>
    </w:r>
    <w:r>
      <w:rPr>
        <w:color w:val="000000"/>
      </w:rPr>
      <w:instrText>NUMPAGES</w:instrText>
    </w:r>
    <w:r w:rsidR="007D203E">
      <w:rPr>
        <w:color w:val="000000"/>
      </w:rPr>
      <w:fldChar w:fldCharType="separate"/>
    </w:r>
    <w:r w:rsidR="00521144">
      <w:rPr>
        <w:noProof/>
        <w:color w:val="000000"/>
      </w:rPr>
      <w:t>6</w:t>
    </w:r>
    <w:r w:rsidR="007D203E">
      <w:rPr>
        <w:color w:val="000000"/>
      </w:rPr>
      <w:fldChar w:fldCharType="end"/>
    </w:r>
    <w:r>
      <w:rPr>
        <w:color w:val="000000"/>
      </w:rPr>
      <w:t xml:space="preserve"> </w:t>
    </w:r>
  </w:p>
  <w:p w:rsidR="00DC630A" w:rsidRDefault="00DC630A">
    <w:pPr>
      <w:pStyle w:val="normal0"/>
      <w:pBdr>
        <w:top w:val="nil"/>
        <w:left w:val="nil"/>
        <w:bottom w:val="nil"/>
        <w:right w:val="nil"/>
        <w:between w:val="nil"/>
      </w:pBdr>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087" w:rsidRDefault="00CF6087" w:rsidP="00BB38DF">
      <w:pPr>
        <w:spacing w:line="240" w:lineRule="auto"/>
        <w:ind w:left="0" w:hanging="2"/>
      </w:pPr>
      <w:r>
        <w:separator/>
      </w:r>
    </w:p>
  </w:footnote>
  <w:footnote w:type="continuationSeparator" w:id="0">
    <w:p w:rsidR="00CF6087" w:rsidRDefault="00CF6087" w:rsidP="00BB38DF">
      <w:pPr>
        <w:spacing w:line="240" w:lineRule="auto"/>
        <w:ind w:left="0" w:hanging="2"/>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30A" w:rsidRDefault="00921403">
    <w:pPr>
      <w:pStyle w:val="normal0"/>
      <w:pBdr>
        <w:top w:val="nil"/>
        <w:left w:val="nil"/>
        <w:bottom w:val="nil"/>
        <w:right w:val="nil"/>
        <w:between w:val="nil"/>
      </w:pBdr>
      <w:jc w:val="center"/>
      <w:rPr>
        <w:color w:val="000000"/>
        <w:sz w:val="18"/>
        <w:szCs w:val="18"/>
      </w:rPr>
    </w:pPr>
    <w:r>
      <w:rPr>
        <w:noProof/>
        <w:color w:val="000000"/>
      </w:rPr>
      <w:drawing>
        <wp:inline distT="0" distB="0" distL="114300" distR="114300">
          <wp:extent cx="1894205" cy="344805"/>
          <wp:effectExtent l="0" t="0" r="0" b="0"/>
          <wp:docPr id="1026"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94205" cy="344805"/>
                  </a:xfrm>
                  <a:prstGeom prst="rect">
                    <a:avLst/>
                  </a:prstGeom>
                  <a:ln/>
                </pic:spPr>
              </pic:pic>
            </a:graphicData>
          </a:graphic>
        </wp:inline>
      </w:drawing>
    </w:r>
    <w:r>
      <w:rPr>
        <w:i/>
        <w:color w:val="000000"/>
        <w:sz w:val="18"/>
        <w:szCs w:val="18"/>
      </w:rPr>
      <w:br/>
    </w:r>
    <w:r>
      <w:rPr>
        <w:i/>
        <w:color w:val="000000"/>
        <w:sz w:val="18"/>
        <w:szCs w:val="18"/>
      </w:rPr>
      <w:br/>
    </w:r>
  </w:p>
  <w:p w:rsidR="00DC630A" w:rsidRDefault="00DC630A">
    <w:pPr>
      <w:pStyle w:val="normal0"/>
      <w:jc w:val="right"/>
    </w:pPr>
  </w:p>
  <w:p w:rsidR="00DC630A" w:rsidRDefault="00DC630A">
    <w:pPr>
      <w:pStyle w:val="normal0"/>
      <w:jc w:val="right"/>
    </w:pPr>
  </w:p>
  <w:p w:rsidR="00DC630A" w:rsidRDefault="00DC630A">
    <w:pPr>
      <w:pStyle w:val="normal0"/>
      <w:jc w:val="right"/>
    </w:pPr>
  </w:p>
  <w:p w:rsidR="00DC630A" w:rsidRDefault="00921403">
    <w:pPr>
      <w:pStyle w:val="normal0"/>
      <w:spacing w:line="480" w:lineRule="auto"/>
      <w:jc w:val="right"/>
    </w:pPr>
    <w:r>
      <w:t>Ref. Expediente N° 1893-D-2024 y Agregados</w:t>
    </w:r>
  </w:p>
  <w:p w:rsidR="00DC630A" w:rsidRDefault="00DC630A">
    <w:pPr>
      <w:pStyle w:val="normal0"/>
      <w:pBdr>
        <w:top w:val="nil"/>
        <w:left w:val="nil"/>
        <w:bottom w:val="nil"/>
        <w:right w:val="nil"/>
        <w:between w:val="nil"/>
      </w:pBdr>
      <w:jc w:val="right"/>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F71C4"/>
    <w:multiLevelType w:val="multilevel"/>
    <w:tmpl w:val="69F66CEC"/>
    <w:lvl w:ilvl="0">
      <w:start w:val="1"/>
      <w:numFmt w:val="decimal"/>
      <w:lvlText w:val="%1."/>
      <w:lvlJc w:val="left"/>
      <w:pPr>
        <w:ind w:left="1440" w:hanging="360"/>
      </w:pPr>
      <w:rPr>
        <w:u w:val="none"/>
        <w:vertAlign w:val="baseline"/>
      </w:rPr>
    </w:lvl>
    <w:lvl w:ilvl="1">
      <w:start w:val="1"/>
      <w:numFmt w:val="lowerLetter"/>
      <w:lvlText w:val="%2."/>
      <w:lvlJc w:val="left"/>
      <w:pPr>
        <w:ind w:left="2160" w:hanging="360"/>
      </w:pPr>
      <w:rPr>
        <w:u w:val="none"/>
        <w:vertAlign w:val="baseline"/>
      </w:rPr>
    </w:lvl>
    <w:lvl w:ilvl="2">
      <w:start w:val="1"/>
      <w:numFmt w:val="lowerRoman"/>
      <w:lvlText w:val="%3."/>
      <w:lvlJc w:val="right"/>
      <w:pPr>
        <w:ind w:left="2880" w:hanging="360"/>
      </w:pPr>
      <w:rPr>
        <w:u w:val="none"/>
        <w:vertAlign w:val="baseline"/>
      </w:rPr>
    </w:lvl>
    <w:lvl w:ilvl="3">
      <w:start w:val="1"/>
      <w:numFmt w:val="decimal"/>
      <w:lvlText w:val="%4."/>
      <w:lvlJc w:val="left"/>
      <w:pPr>
        <w:ind w:left="3600" w:hanging="360"/>
      </w:pPr>
      <w:rPr>
        <w:u w:val="none"/>
        <w:vertAlign w:val="baseline"/>
      </w:rPr>
    </w:lvl>
    <w:lvl w:ilvl="4">
      <w:start w:val="1"/>
      <w:numFmt w:val="lowerLetter"/>
      <w:lvlText w:val="%5."/>
      <w:lvlJc w:val="left"/>
      <w:pPr>
        <w:ind w:left="4320" w:hanging="360"/>
      </w:pPr>
      <w:rPr>
        <w:u w:val="none"/>
        <w:vertAlign w:val="baseline"/>
      </w:rPr>
    </w:lvl>
    <w:lvl w:ilvl="5">
      <w:start w:val="1"/>
      <w:numFmt w:val="lowerRoman"/>
      <w:lvlText w:val="%6."/>
      <w:lvlJc w:val="right"/>
      <w:pPr>
        <w:ind w:left="5040" w:hanging="360"/>
      </w:pPr>
      <w:rPr>
        <w:u w:val="none"/>
        <w:vertAlign w:val="baseline"/>
      </w:rPr>
    </w:lvl>
    <w:lvl w:ilvl="6">
      <w:start w:val="1"/>
      <w:numFmt w:val="decimal"/>
      <w:lvlText w:val="%7."/>
      <w:lvlJc w:val="left"/>
      <w:pPr>
        <w:ind w:left="5760" w:hanging="360"/>
      </w:pPr>
      <w:rPr>
        <w:u w:val="none"/>
        <w:vertAlign w:val="baseline"/>
      </w:rPr>
    </w:lvl>
    <w:lvl w:ilvl="7">
      <w:start w:val="1"/>
      <w:numFmt w:val="lowerLetter"/>
      <w:lvlText w:val="%8."/>
      <w:lvlJc w:val="left"/>
      <w:pPr>
        <w:ind w:left="6480" w:hanging="360"/>
      </w:pPr>
      <w:rPr>
        <w:u w:val="none"/>
        <w:vertAlign w:val="baseline"/>
      </w:rPr>
    </w:lvl>
    <w:lvl w:ilvl="8">
      <w:start w:val="1"/>
      <w:numFmt w:val="lowerRoman"/>
      <w:lvlText w:val="%9."/>
      <w:lvlJc w:val="right"/>
      <w:pPr>
        <w:ind w:left="7200" w:hanging="360"/>
      </w:pPr>
      <w:rPr>
        <w:u w:val="none"/>
        <w:vertAlign w:val="baseline"/>
      </w:rPr>
    </w:lvl>
  </w:abstractNum>
  <w:abstractNum w:abstractNumId="1">
    <w:nsid w:val="73AD14FC"/>
    <w:multiLevelType w:val="multilevel"/>
    <w:tmpl w:val="7A16051C"/>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proofState w:spelling="clean" w:grammar="clean"/>
  <w:defaultTabStop w:val="720"/>
  <w:hyphenationZone w:val="425"/>
  <w:characterSpacingControl w:val="doNotCompress"/>
  <w:footnotePr>
    <w:footnote w:id="-1"/>
    <w:footnote w:id="0"/>
  </w:footnotePr>
  <w:endnotePr>
    <w:endnote w:id="-1"/>
    <w:endnote w:id="0"/>
  </w:endnotePr>
  <w:compat/>
  <w:rsids>
    <w:rsidRoot w:val="00DC630A"/>
    <w:rsid w:val="00192C01"/>
    <w:rsid w:val="00521144"/>
    <w:rsid w:val="007D203E"/>
    <w:rsid w:val="00921403"/>
    <w:rsid w:val="00BB38DF"/>
    <w:rsid w:val="00CF6087"/>
    <w:rsid w:val="00DC34E5"/>
    <w:rsid w:val="00DC630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rmal0"/>
    <w:rsid w:val="00DC630A"/>
    <w:pPr>
      <w:suppressAutoHyphens/>
      <w:spacing w:line="1" w:lineRule="atLeast"/>
      <w:ind w:leftChars="-1" w:left="-1" w:hangingChars="1" w:hanging="1"/>
      <w:textDirection w:val="btLr"/>
      <w:textAlignment w:val="top"/>
      <w:outlineLvl w:val="0"/>
    </w:pPr>
    <w:rPr>
      <w:position w:val="-1"/>
    </w:rPr>
  </w:style>
  <w:style w:type="paragraph" w:styleId="Ttulo1">
    <w:name w:val="heading 1"/>
    <w:basedOn w:val="normal0"/>
    <w:next w:val="normal0"/>
    <w:rsid w:val="00DC630A"/>
    <w:pPr>
      <w:keepNext/>
      <w:keepLines/>
      <w:spacing w:before="480" w:after="120"/>
      <w:outlineLvl w:val="0"/>
    </w:pPr>
    <w:rPr>
      <w:b/>
      <w:sz w:val="48"/>
      <w:szCs w:val="48"/>
    </w:rPr>
  </w:style>
  <w:style w:type="paragraph" w:styleId="Ttulo2">
    <w:name w:val="heading 2"/>
    <w:basedOn w:val="normal0"/>
    <w:next w:val="normal0"/>
    <w:rsid w:val="00DC630A"/>
    <w:pPr>
      <w:keepNext/>
      <w:keepLines/>
      <w:spacing w:before="360" w:after="80"/>
      <w:outlineLvl w:val="1"/>
    </w:pPr>
    <w:rPr>
      <w:b/>
      <w:sz w:val="36"/>
      <w:szCs w:val="36"/>
    </w:rPr>
  </w:style>
  <w:style w:type="paragraph" w:styleId="Ttulo3">
    <w:name w:val="heading 3"/>
    <w:basedOn w:val="normal0"/>
    <w:next w:val="normal0"/>
    <w:rsid w:val="00DC630A"/>
    <w:pPr>
      <w:keepNext/>
      <w:keepLines/>
      <w:spacing w:before="280" w:after="80"/>
      <w:outlineLvl w:val="2"/>
    </w:pPr>
    <w:rPr>
      <w:b/>
      <w:sz w:val="28"/>
      <w:szCs w:val="28"/>
    </w:rPr>
  </w:style>
  <w:style w:type="paragraph" w:styleId="Ttulo4">
    <w:name w:val="heading 4"/>
    <w:basedOn w:val="normal0"/>
    <w:next w:val="normal0"/>
    <w:rsid w:val="00DC630A"/>
    <w:pPr>
      <w:keepNext/>
      <w:keepLines/>
      <w:spacing w:before="240" w:after="40"/>
      <w:outlineLvl w:val="3"/>
    </w:pPr>
    <w:rPr>
      <w:b/>
    </w:rPr>
  </w:style>
  <w:style w:type="paragraph" w:styleId="Ttulo5">
    <w:name w:val="heading 5"/>
    <w:basedOn w:val="normal0"/>
    <w:next w:val="normal0"/>
    <w:rsid w:val="00DC630A"/>
    <w:pPr>
      <w:keepNext/>
      <w:keepLines/>
      <w:spacing w:before="220" w:after="40"/>
      <w:outlineLvl w:val="4"/>
    </w:pPr>
    <w:rPr>
      <w:b/>
      <w:sz w:val="22"/>
      <w:szCs w:val="22"/>
    </w:rPr>
  </w:style>
  <w:style w:type="paragraph" w:styleId="Ttulo6">
    <w:name w:val="heading 6"/>
    <w:basedOn w:val="normal0"/>
    <w:next w:val="normal0"/>
    <w:rsid w:val="00DC630A"/>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DC630A"/>
  </w:style>
  <w:style w:type="table" w:customStyle="1" w:styleId="TableNormal">
    <w:name w:val="Table Normal"/>
    <w:rsid w:val="00DC630A"/>
    <w:tblPr>
      <w:tblCellMar>
        <w:top w:w="0" w:type="dxa"/>
        <w:left w:w="0" w:type="dxa"/>
        <w:bottom w:w="0" w:type="dxa"/>
        <w:right w:w="0" w:type="dxa"/>
      </w:tblCellMar>
    </w:tblPr>
  </w:style>
  <w:style w:type="paragraph" w:styleId="Ttulo">
    <w:name w:val="Title"/>
    <w:basedOn w:val="normal0"/>
    <w:next w:val="normal0"/>
    <w:rsid w:val="00DC630A"/>
    <w:pPr>
      <w:keepNext/>
      <w:keepLines/>
      <w:spacing w:before="480" w:after="120"/>
    </w:pPr>
    <w:rPr>
      <w:b/>
      <w:sz w:val="72"/>
      <w:szCs w:val="72"/>
    </w:rPr>
  </w:style>
  <w:style w:type="paragraph" w:styleId="Encabezado">
    <w:name w:val="header"/>
    <w:basedOn w:val="Normal"/>
    <w:rsid w:val="00DC630A"/>
  </w:style>
  <w:style w:type="paragraph" w:styleId="Piedepgina">
    <w:name w:val="footer"/>
    <w:basedOn w:val="Normal"/>
    <w:rsid w:val="00DC630A"/>
  </w:style>
  <w:style w:type="character" w:styleId="Nmerodepgina">
    <w:name w:val="page number"/>
    <w:basedOn w:val="Fuentedeprrafopredeter"/>
    <w:rsid w:val="00DC630A"/>
    <w:rPr>
      <w:w w:val="100"/>
      <w:position w:val="-1"/>
      <w:effect w:val="none"/>
      <w:vertAlign w:val="baseline"/>
      <w:cs w:val="0"/>
      <w:em w:val="none"/>
    </w:rPr>
  </w:style>
  <w:style w:type="paragraph" w:styleId="NormalWeb">
    <w:name w:val="Normal (Web)"/>
    <w:basedOn w:val="Normal"/>
    <w:rsid w:val="00DC630A"/>
    <w:pPr>
      <w:spacing w:before="100" w:beforeAutospacing="1" w:after="100" w:afterAutospacing="1"/>
      <w:jc w:val="left"/>
    </w:pPr>
  </w:style>
  <w:style w:type="paragraph" w:styleId="Textodeglobo">
    <w:name w:val="Balloon Text"/>
    <w:basedOn w:val="Normal"/>
    <w:rsid w:val="00DC630A"/>
    <w:rPr>
      <w:rFonts w:ascii="Tahoma" w:hAnsi="Tahoma" w:cs="Tahoma"/>
      <w:sz w:val="16"/>
      <w:szCs w:val="16"/>
    </w:rPr>
  </w:style>
  <w:style w:type="paragraph" w:customStyle="1" w:styleId="Style5">
    <w:name w:val="Style 5"/>
    <w:rsid w:val="00DC630A"/>
    <w:pPr>
      <w:widowControl w:val="0"/>
      <w:suppressAutoHyphens/>
      <w:autoSpaceDE w:val="0"/>
      <w:autoSpaceDN w:val="0"/>
      <w:spacing w:before="144" w:line="1" w:lineRule="atLeast"/>
      <w:ind w:leftChars="-1" w:left="-1" w:hangingChars="1" w:hanging="1"/>
      <w:textDirection w:val="btLr"/>
      <w:textAlignment w:val="top"/>
      <w:outlineLvl w:val="0"/>
    </w:pPr>
    <w:rPr>
      <w:position w:val="-1"/>
    </w:rPr>
  </w:style>
  <w:style w:type="paragraph" w:customStyle="1" w:styleId="Heading7">
    <w:name w:val="Heading 7"/>
    <w:basedOn w:val="Normal"/>
    <w:rsid w:val="00DC630A"/>
    <w:pPr>
      <w:widowControl w:val="0"/>
      <w:autoSpaceDE w:val="0"/>
      <w:autoSpaceDN w:val="0"/>
      <w:ind w:left="835"/>
      <w:outlineLvl w:val="7"/>
    </w:pPr>
    <w:rPr>
      <w:rFonts w:ascii="Arial" w:eastAsia="Arial" w:hAnsi="Arial" w:cs="Arial"/>
      <w:lang w:val="en-US" w:eastAsia="en-US"/>
    </w:rPr>
  </w:style>
  <w:style w:type="paragraph" w:styleId="Textoindependiente">
    <w:name w:val="Body Text"/>
    <w:basedOn w:val="Normal"/>
    <w:rsid w:val="00DC630A"/>
    <w:pPr>
      <w:widowControl w:val="0"/>
      <w:autoSpaceDE w:val="0"/>
      <w:autoSpaceDN w:val="0"/>
      <w:jc w:val="left"/>
    </w:pPr>
    <w:rPr>
      <w:rFonts w:ascii="Arial" w:eastAsia="Arial" w:hAnsi="Arial"/>
      <w:sz w:val="23"/>
      <w:szCs w:val="23"/>
      <w:lang w:val="en-US" w:eastAsia="en-US"/>
    </w:rPr>
  </w:style>
  <w:style w:type="character" w:customStyle="1" w:styleId="TextoindependienteCar">
    <w:name w:val="Texto independiente Car"/>
    <w:rsid w:val="00DC630A"/>
    <w:rPr>
      <w:rFonts w:ascii="Arial" w:eastAsia="Arial" w:hAnsi="Arial" w:cs="Arial"/>
      <w:w w:val="100"/>
      <w:position w:val="-1"/>
      <w:sz w:val="23"/>
      <w:szCs w:val="23"/>
      <w:effect w:val="none"/>
      <w:vertAlign w:val="baseline"/>
      <w:cs w:val="0"/>
      <w:em w:val="none"/>
      <w:lang w:val="en-US" w:eastAsia="en-US"/>
    </w:rPr>
  </w:style>
  <w:style w:type="paragraph" w:styleId="Prrafodelista">
    <w:name w:val="List Paragraph"/>
    <w:basedOn w:val="Normal"/>
    <w:rsid w:val="00DC630A"/>
    <w:pPr>
      <w:widowControl w:val="0"/>
      <w:autoSpaceDE w:val="0"/>
      <w:autoSpaceDN w:val="0"/>
      <w:ind w:left="631" w:hanging="385"/>
    </w:pPr>
    <w:rPr>
      <w:rFonts w:ascii="Arial" w:eastAsia="Arial" w:hAnsi="Arial" w:cs="Arial"/>
      <w:sz w:val="22"/>
      <w:szCs w:val="22"/>
      <w:lang w:val="en-US" w:eastAsia="en-US"/>
    </w:rPr>
  </w:style>
  <w:style w:type="character" w:customStyle="1" w:styleId="EncabezadoCar">
    <w:name w:val="Encabezado Car"/>
    <w:rsid w:val="00DC630A"/>
    <w:rPr>
      <w:w w:val="100"/>
      <w:position w:val="-1"/>
      <w:sz w:val="24"/>
      <w:effect w:val="none"/>
      <w:vertAlign w:val="baseline"/>
      <w:cs w:val="0"/>
      <w:em w:val="none"/>
      <w:lang w:val="es-ES"/>
    </w:rPr>
  </w:style>
  <w:style w:type="paragraph" w:customStyle="1" w:styleId="normal1">
    <w:name w:val="normal"/>
    <w:rsid w:val="00DC630A"/>
    <w:pPr>
      <w:suppressAutoHyphens/>
      <w:spacing w:line="1" w:lineRule="atLeast"/>
      <w:ind w:leftChars="-1" w:left="-1" w:hangingChars="1" w:hanging="1"/>
      <w:textDirection w:val="btLr"/>
      <w:textAlignment w:val="top"/>
      <w:outlineLvl w:val="0"/>
    </w:pPr>
    <w:rPr>
      <w:position w:val="-1"/>
    </w:rPr>
  </w:style>
  <w:style w:type="paragraph" w:styleId="Subttulo">
    <w:name w:val="Subtitle"/>
    <w:basedOn w:val="Normal"/>
    <w:next w:val="Normal"/>
    <w:rsid w:val="00DC630A"/>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jwWncXrB3hs8n4bqcXZfiGrKfg==">CgMxLjAyCWlkLmdqZGd4czgAciExYWdsbTlxaV9HUE54VmJvejhPMzVuQXd0R3cyb1UtQk0=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1903</Words>
  <Characters>10467</Characters>
  <Application>Microsoft Office Word</Application>
  <DocSecurity>0</DocSecurity>
  <Lines>87</Lines>
  <Paragraphs>24</Paragraphs>
  <ScaleCrop>false</ScaleCrop>
  <Company/>
  <LinksUpToDate>false</LinksUpToDate>
  <CharactersWithSpaces>12346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Silvio Omar Massaro</dc:creator>
  <cp:lastModifiedBy>garodriguez</cp:lastModifiedBy>
  <cp:revision>6</cp:revision>
  <cp:lastPrinted>2024-10-25T16:21:00Z</cp:lastPrinted>
  <dcterms:created xsi:type="dcterms:W3CDTF">2024-10-25T16:19:00Z</dcterms:created>
  <dcterms:modified xsi:type="dcterms:W3CDTF">2024-10-25T16:23:00Z</dcterms:modified>
</cp:coreProperties>
</file>