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789" w:rsidRPr="00727BBB" w:rsidRDefault="00420789" w:rsidP="00420789">
      <w:pPr>
        <w:pStyle w:val="NormalWeb"/>
        <w:spacing w:before="0" w:beforeAutospacing="0" w:after="240" w:afterAutospacing="0" w:line="360" w:lineRule="auto"/>
        <w:ind w:left="5"/>
        <w:jc w:val="both"/>
      </w:pPr>
      <w:r w:rsidRPr="00727BBB">
        <w:rPr>
          <w:color w:val="000000"/>
        </w:rPr>
        <w:t>Visto: </w:t>
      </w:r>
    </w:p>
    <w:p w:rsidR="00420789" w:rsidRPr="00727BBB" w:rsidRDefault="00420789" w:rsidP="00420789">
      <w:pPr>
        <w:pStyle w:val="NormalWeb"/>
        <w:spacing w:before="0" w:beforeAutospacing="0" w:after="240" w:afterAutospacing="0" w:line="360" w:lineRule="auto"/>
        <w:ind w:left="6" w:right="14" w:firstLine="721"/>
        <w:jc w:val="both"/>
      </w:pPr>
      <w:r>
        <w:rPr>
          <w:color w:val="000000"/>
        </w:rPr>
        <w:t>El expediente nro. 492-D-2024</w:t>
      </w:r>
      <w:r w:rsidRPr="00727BBB">
        <w:rPr>
          <w:color w:val="000000"/>
        </w:rPr>
        <w:t xml:space="preserve"> de autoría de la Diputada </w:t>
      </w:r>
      <w:proofErr w:type="spellStart"/>
      <w:r>
        <w:rPr>
          <w:color w:val="000000"/>
        </w:rPr>
        <w:t>Iañez</w:t>
      </w:r>
      <w:proofErr w:type="spellEnd"/>
      <w:r>
        <w:rPr>
          <w:color w:val="000000"/>
        </w:rPr>
        <w:t xml:space="preserve">, Berenice y </w:t>
      </w:r>
      <w:r>
        <w:t>coautoría de los/as</w:t>
      </w:r>
      <w:r w:rsidRPr="009F18DE">
        <w:t xml:space="preserve"> Diputado</w:t>
      </w:r>
      <w:r>
        <w:t xml:space="preserve">s/as </w:t>
      </w:r>
      <w:proofErr w:type="spellStart"/>
      <w:r>
        <w:t>Barroetaveña</w:t>
      </w:r>
      <w:proofErr w:type="spellEnd"/>
      <w:r>
        <w:t xml:space="preserve">, Matías; </w:t>
      </w:r>
      <w:proofErr w:type="spellStart"/>
      <w:r>
        <w:t>Bielli</w:t>
      </w:r>
      <w:proofErr w:type="spellEnd"/>
      <w:r>
        <w:t xml:space="preserve">, María; </w:t>
      </w:r>
      <w:proofErr w:type="spellStart"/>
      <w:r>
        <w:t>Ferreño</w:t>
      </w:r>
      <w:proofErr w:type="spellEnd"/>
      <w:r>
        <w:t xml:space="preserve">, Claudio Américo; Freire, Victoria; La </w:t>
      </w:r>
      <w:proofErr w:type="spellStart"/>
      <w:r>
        <w:t>Blunda</w:t>
      </w:r>
      <w:proofErr w:type="spellEnd"/>
      <w:r>
        <w:t xml:space="preserve">, Andrés; </w:t>
      </w:r>
      <w:proofErr w:type="spellStart"/>
      <w:r>
        <w:t>Modarelli</w:t>
      </w:r>
      <w:proofErr w:type="spellEnd"/>
      <w:r>
        <w:t xml:space="preserve">, Juan Pablo; Montenegro, Victoria; </w:t>
      </w:r>
      <w:proofErr w:type="spellStart"/>
      <w:r>
        <w:t>Tiesso</w:t>
      </w:r>
      <w:proofErr w:type="spellEnd"/>
      <w:r>
        <w:t xml:space="preserve">, María Magdalena; Valdés, Juan Manuel y Velázquez, Delfina; el expediente nro. 1402-D-2024 de autoría de la Diputada Ocaña, María Graciela y coautoría de los/as Diputados/as Méndez, María Sol y </w:t>
      </w:r>
      <w:proofErr w:type="spellStart"/>
      <w:r>
        <w:t>Nagata</w:t>
      </w:r>
      <w:proofErr w:type="spellEnd"/>
      <w:r>
        <w:t>, Sebastián; y el expediente nro. 1062-S-2025 de autoría del Consejo Económico y Social de la Ciudad de Buenos Aires</w:t>
      </w:r>
      <w:r w:rsidRPr="00727BBB">
        <w:rPr>
          <w:color w:val="000000"/>
        </w:rPr>
        <w:t>, proyecto</w:t>
      </w:r>
      <w:r>
        <w:rPr>
          <w:color w:val="000000"/>
        </w:rPr>
        <w:t>s de ley por los</w:t>
      </w:r>
      <w:r w:rsidRPr="00727BBB">
        <w:rPr>
          <w:color w:val="000000"/>
        </w:rPr>
        <w:t xml:space="preserve"> cual</w:t>
      </w:r>
      <w:r>
        <w:rPr>
          <w:color w:val="000000"/>
        </w:rPr>
        <w:t>es</w:t>
      </w:r>
      <w:r w:rsidRPr="00727BBB">
        <w:rPr>
          <w:color w:val="000000"/>
        </w:rPr>
        <w:t xml:space="preserve"> se busca</w:t>
      </w:r>
      <w:r>
        <w:rPr>
          <w:color w:val="000000"/>
        </w:rPr>
        <w:t xml:space="preserve"> garantizar la gratuidad del transporte subterráneo para las personas mayores de 60 años sin límite horario</w:t>
      </w:r>
      <w:r w:rsidRPr="00727BBB">
        <w:rPr>
          <w:color w:val="000000"/>
        </w:rPr>
        <w:t>, y, </w:t>
      </w:r>
    </w:p>
    <w:p w:rsidR="00420789" w:rsidRPr="00727BBB" w:rsidRDefault="00420789" w:rsidP="00420789">
      <w:pPr>
        <w:pStyle w:val="NormalWeb"/>
        <w:spacing w:before="0" w:beforeAutospacing="0" w:after="240" w:afterAutospacing="0" w:line="360" w:lineRule="auto"/>
        <w:ind w:left="11"/>
        <w:jc w:val="both"/>
        <w:rPr>
          <w:color w:val="000000"/>
        </w:rPr>
      </w:pPr>
      <w:r w:rsidRPr="00727BBB">
        <w:rPr>
          <w:color w:val="000000"/>
        </w:rPr>
        <w:t>Considerando: </w:t>
      </w:r>
    </w:p>
    <w:p w:rsidR="00420789" w:rsidRDefault="00420789" w:rsidP="00420789">
      <w:pPr>
        <w:pStyle w:val="NormalWeb"/>
        <w:spacing w:after="240" w:line="360" w:lineRule="auto"/>
        <w:ind w:left="11" w:firstLine="698"/>
        <w:jc w:val="both"/>
      </w:pPr>
      <w:r>
        <w:t>Que s</w:t>
      </w:r>
      <w:r w:rsidRPr="007D26CF">
        <w:t>egún se informa en el portal Web oficial del Gobierno de la Ciudad de Buenos Aires, existe un pase gratuito para jubilados/as y pensionados/as, para el servicio de transporte subterráneo. Sin embargo, el beneficio alcanza sólo a aquellos/as "con haber mensual hasta 10% superior al mínimo vigente".</w:t>
      </w:r>
    </w:p>
    <w:p w:rsidR="00420789" w:rsidRPr="007D26CF" w:rsidRDefault="00420789" w:rsidP="00420789">
      <w:pPr>
        <w:pStyle w:val="NormalWeb"/>
        <w:spacing w:after="240" w:line="360" w:lineRule="auto"/>
        <w:ind w:left="11" w:firstLine="698"/>
        <w:jc w:val="both"/>
      </w:pPr>
      <w:r>
        <w:t>Que resulta</w:t>
      </w:r>
      <w:r w:rsidRPr="007D26CF">
        <w:t xml:space="preserve"> importante destacar que el monto mínimo para las jubilaciones, alcanzó en abril de este año los $285.792 pesos. A ello se le suma el bono dispuesto por el Gobierno Nacional, que desde principios de 2024 es de $70.000 pesos para quienes cobran el haber mínimo. De este modo, quienes cobran la jubilación mínima reciben un total de $355.820,63 pesos.</w:t>
      </w:r>
    </w:p>
    <w:p w:rsidR="00420789" w:rsidRPr="007D26CF" w:rsidRDefault="00420789" w:rsidP="00420789">
      <w:pPr>
        <w:pStyle w:val="NormalWeb"/>
        <w:spacing w:after="240" w:line="360" w:lineRule="auto"/>
        <w:ind w:left="11" w:firstLine="698"/>
        <w:jc w:val="both"/>
      </w:pPr>
      <w:r>
        <w:t>Que e</w:t>
      </w:r>
      <w:r w:rsidRPr="007D26CF">
        <w:t>sto significa que con estos valores jubilatorios, en abril de 2025 el subte es gratuito sólo para jubilados/as que cobren hasta $314.371 pesos. Por eso, proponemos modificar el límite de ingresos de las personas mayores, de modo que puedan acceder a este beneficio aquellas personas mayores de sesenta años que tengan ingresos menores o iguales a cinco jubilaciones mínimas, que en abril de 2025 equivalen a un total de $1.428.960 pesos.</w:t>
      </w:r>
    </w:p>
    <w:p w:rsidR="00420789" w:rsidRPr="007D26CF" w:rsidRDefault="00420789" w:rsidP="00420789">
      <w:pPr>
        <w:pStyle w:val="NormalWeb"/>
        <w:spacing w:after="240" w:line="360" w:lineRule="auto"/>
        <w:ind w:left="11" w:firstLine="698"/>
        <w:jc w:val="both"/>
      </w:pPr>
      <w:r>
        <w:t>Que t</w:t>
      </w:r>
      <w:r w:rsidRPr="007D26CF">
        <w:t xml:space="preserve">ambién es importante señalar que no todas las personas mayores de 60 años han podido acceder a la jubilación. Se destacan dentro de esta población las personas migrantes. </w:t>
      </w:r>
      <w:r>
        <w:t>Con este proyecto se busca</w:t>
      </w:r>
      <w:r w:rsidRPr="007D26CF">
        <w:t xml:space="preserve"> incluir a este colectivo como titular de este derecho.</w:t>
      </w:r>
    </w:p>
    <w:p w:rsidR="00420789" w:rsidRPr="007D26CF" w:rsidRDefault="00420789" w:rsidP="00420789">
      <w:pPr>
        <w:pStyle w:val="NormalWeb"/>
        <w:spacing w:after="240" w:line="360" w:lineRule="auto"/>
        <w:ind w:left="11" w:firstLine="698"/>
        <w:jc w:val="both"/>
      </w:pPr>
      <w:r>
        <w:t>Que l</w:t>
      </w:r>
      <w:r w:rsidRPr="007D26CF">
        <w:t>a población de personas mayores en nuestra ciudad enfrenta una situación de vulnerabilidad económica y social que se ha visto agravada por la inflación y el aumento del costo de vida. Según datos recientes, muchas personas mayores dependen de ingresos fijos que no alcanzan para cubrir todas sus necesidades básicas.</w:t>
      </w:r>
    </w:p>
    <w:p w:rsidR="00420789" w:rsidRPr="007D26CF" w:rsidRDefault="00420789" w:rsidP="00420789">
      <w:pPr>
        <w:pStyle w:val="NormalWeb"/>
        <w:spacing w:line="360" w:lineRule="auto"/>
        <w:ind w:left="11" w:firstLine="697"/>
        <w:jc w:val="both"/>
      </w:pPr>
      <w:r>
        <w:t>Que e</w:t>
      </w:r>
      <w:r w:rsidRPr="007D26CF">
        <w:t>l valor actual de la tarifa del subte es de $832 pesos, a partir del último aumento del 10% registrado el 28 de febrero de 2025. Además, el G</w:t>
      </w:r>
      <w:r>
        <w:t xml:space="preserve">obierno de la </w:t>
      </w:r>
      <w:r w:rsidRPr="007D26CF">
        <w:t>C</w:t>
      </w:r>
      <w:r>
        <w:t xml:space="preserve">iudad </w:t>
      </w:r>
      <w:r>
        <w:lastRenderedPageBreak/>
        <w:t xml:space="preserve">Autónoma de </w:t>
      </w:r>
      <w:r w:rsidRPr="007D26CF">
        <w:t>B</w:t>
      </w:r>
      <w:r>
        <w:t xml:space="preserve">uenos </w:t>
      </w:r>
      <w:r w:rsidRPr="007D26CF">
        <w:t>A</w:t>
      </w:r>
      <w:r>
        <w:t>ires</w:t>
      </w:r>
      <w:r w:rsidRPr="007D26CF">
        <w:t xml:space="preserve"> anunció que habrá incrementos tarifarios mensuales sujetos a la inflación del INDEC más un 2% de aumento calculado sobre la tarifa anterior.</w:t>
      </w:r>
    </w:p>
    <w:p w:rsidR="00420789" w:rsidRPr="007D26CF" w:rsidRDefault="00420789" w:rsidP="00420789">
      <w:pPr>
        <w:pStyle w:val="NormalWeb"/>
        <w:spacing w:line="360" w:lineRule="auto"/>
        <w:ind w:left="11" w:firstLine="697"/>
        <w:jc w:val="both"/>
      </w:pPr>
      <w:r>
        <w:t>Que r</w:t>
      </w:r>
      <w:r w:rsidRPr="007D26CF">
        <w:t>esulta fundamental mencionar que durante 2024 la tarifa del subte tuvo sucesivos aumentos, muy difíciles de costear para una gran parte de la población, que alcanzaron un 589%. A principios de ese año, el valor del viaje era de $125 pesos; en abril se incrementó un 360%, pasando a costar $574 pesos. En mayo y junio hubo otros dos incrementos, alcanzando la tarifa de $650 pesos. Finalmente, en octubre de 2024 se aplicó otro aumento, que llevó el valor de la tarifa a $757 pesos.</w:t>
      </w:r>
    </w:p>
    <w:p w:rsidR="00420789" w:rsidRPr="007D26CF" w:rsidRDefault="00420789" w:rsidP="00420789">
      <w:pPr>
        <w:pStyle w:val="NormalWeb"/>
        <w:spacing w:after="240" w:line="360" w:lineRule="auto"/>
        <w:ind w:left="11" w:firstLine="698"/>
        <w:jc w:val="both"/>
      </w:pPr>
      <w:r>
        <w:t>Que s</w:t>
      </w:r>
      <w:r w:rsidRPr="007D26CF">
        <w:t xml:space="preserve">egún los datos del último informe de líneas de pobreza y canastas de consumo publicado por el Instituto de Estadística y Censos de la Ciudad de Buenos Aires, en abril de 2025 la canasta básica total para un hogar tipo 2 compuesto por una pareja de adultos mayores, mujer y varón, ambos económicamente inactivos, propietarios de la vivienda es de </w:t>
      </w:r>
      <w:r w:rsidRPr="007D26CF">
        <w:rPr>
          <w:b/>
          <w:u w:val="single"/>
        </w:rPr>
        <w:t xml:space="preserve">$748.758 </w:t>
      </w:r>
      <w:r w:rsidRPr="007D26CF">
        <w:t>pesos. Es importante señalar que esta canasta no incluye gastos de alquiler, ya que el hogar tipo está compuesto por personas propietarias de la vivienda.</w:t>
      </w:r>
    </w:p>
    <w:p w:rsidR="00420789" w:rsidRPr="007D26CF" w:rsidRDefault="00420789" w:rsidP="00420789">
      <w:pPr>
        <w:pStyle w:val="NormalWeb"/>
        <w:spacing w:after="240" w:line="360" w:lineRule="auto"/>
        <w:ind w:left="11" w:firstLine="698"/>
        <w:jc w:val="both"/>
      </w:pPr>
      <w:r>
        <w:t>Que, e</w:t>
      </w:r>
      <w:r w:rsidRPr="007D26CF">
        <w:t>n este contexto, el acceso gratuito al transporte público subterráneo es una medida crucial para aliviar parte de esta carga financiera y facilitar su movilidad diaria.</w:t>
      </w:r>
    </w:p>
    <w:p w:rsidR="00420789" w:rsidRPr="007D26CF" w:rsidRDefault="00420789" w:rsidP="00420789">
      <w:pPr>
        <w:pStyle w:val="NormalWeb"/>
        <w:spacing w:after="240" w:line="360" w:lineRule="auto"/>
        <w:ind w:left="11" w:firstLine="698"/>
        <w:jc w:val="both"/>
      </w:pPr>
      <w:r>
        <w:t>Que e</w:t>
      </w:r>
      <w:r w:rsidRPr="007D26CF">
        <w:t>sta medida permitirá que más personas mayores participen activamente en la vida de la ciudad, accediendo a servicios de salud, actividades recreativas y manteniendo sus vínculos sociales.</w:t>
      </w:r>
    </w:p>
    <w:p w:rsidR="00420789" w:rsidRPr="007D26CF" w:rsidRDefault="00420789" w:rsidP="00420789">
      <w:pPr>
        <w:pStyle w:val="NormalWeb"/>
        <w:spacing w:after="240" w:line="360" w:lineRule="auto"/>
        <w:ind w:left="11" w:firstLine="698"/>
        <w:jc w:val="both"/>
      </w:pPr>
      <w:r>
        <w:t>Que, además, se debe</w:t>
      </w:r>
      <w:r w:rsidRPr="007D26CF">
        <w:t xml:space="preserve"> señalar que actualmente este pase sólo puede tramitarse en algunas estaciones de subte, lo cual resulta engorroso para las personas mayores. Por eso, </w:t>
      </w:r>
      <w:r>
        <w:t>se propone</w:t>
      </w:r>
      <w:r w:rsidRPr="007D26CF">
        <w:t xml:space="preserve"> que el pase gratuito pueda gestionarse en todas las estaciones cabecera de subte y todas las sedes comunales, para facilitar el acceso de las personas mayores, que en muchos casos tienen limitaciones en su movilidad. </w:t>
      </w:r>
      <w:r>
        <w:t>Esta</w:t>
      </w:r>
      <w:r w:rsidRPr="007D26CF">
        <w:t xml:space="preserve"> propuesta busca eliminar las barreras físicas y administrativas que actualmente di</w:t>
      </w:r>
      <w:r>
        <w:t>ficultan el acceso al beneficio, lo cual resulta</w:t>
      </w:r>
      <w:r w:rsidRPr="007D26CF">
        <w:t xml:space="preserve"> especialmente importante para personas con movilidad reducida o dificultades para desplazarse largas distancias.</w:t>
      </w:r>
    </w:p>
    <w:p w:rsidR="00420789" w:rsidRPr="007D26CF" w:rsidRDefault="00420789" w:rsidP="00420789">
      <w:pPr>
        <w:pStyle w:val="NormalWeb"/>
        <w:spacing w:after="240" w:line="360" w:lineRule="auto"/>
        <w:ind w:left="11" w:firstLine="698"/>
        <w:jc w:val="both"/>
      </w:pPr>
      <w:r>
        <w:t>Que, conforme misma justificación</w:t>
      </w:r>
      <w:r w:rsidRPr="007D26CF">
        <w:t xml:space="preserve">, </w:t>
      </w:r>
      <w:r>
        <w:t>se propone</w:t>
      </w:r>
      <w:r w:rsidRPr="007D26CF">
        <w:t xml:space="preserve"> que el pase tenga validez permanente, ya que en la  actualidad las personas titulares de este derecho deben renovar el pase una vez por año. Esto  resulta complejo, porque implica movilizarse todos los años para renovar la tarjeta, cuando su  situación no se modifica. Otorgar una validez vitalicia al pase gratuito, con renovación únicamente en caso de extravío, reducirá la burocracia y las molestias asociadas con la renovación anual del pase. Esto facilitará a las personas mayores mantener su beneficio sin tener que realizar trámites frecuentes.</w:t>
      </w:r>
    </w:p>
    <w:p w:rsidR="00420789" w:rsidRPr="007D26CF" w:rsidRDefault="00420789" w:rsidP="00420789">
      <w:pPr>
        <w:pStyle w:val="NormalWeb"/>
        <w:spacing w:after="240" w:line="360" w:lineRule="auto"/>
        <w:ind w:left="11" w:firstLine="698"/>
        <w:jc w:val="both"/>
      </w:pPr>
      <w:r>
        <w:t>Que l</w:t>
      </w:r>
      <w:r w:rsidRPr="007D26CF">
        <w:t xml:space="preserve">a implementación de esta medida no representa una carga presupuestaria extraordinaria para la ciudad. Además, la Constitución de la Ciudad establece en su artículo </w:t>
      </w:r>
      <w:r w:rsidRPr="007D26CF">
        <w:lastRenderedPageBreak/>
        <w:t>41 que se garantiza a las personas mayores la igualdad de oportunidades y trato, así como el pleno goce de sus derechos. Esta propuesta se enmarca en ese espíritu constitucional, buscando proteger y promover la integración económica y sociocultural de las personas mayores.</w:t>
      </w:r>
    </w:p>
    <w:p w:rsidR="00420789" w:rsidRPr="007D26CF" w:rsidRDefault="00420789" w:rsidP="00420789">
      <w:pPr>
        <w:pStyle w:val="NormalWeb"/>
        <w:spacing w:after="240" w:line="360" w:lineRule="auto"/>
        <w:ind w:left="11" w:firstLine="698"/>
        <w:jc w:val="both"/>
      </w:pPr>
      <w:r>
        <w:t>Que</w:t>
      </w:r>
      <w:r w:rsidRPr="007D26CF">
        <w:t xml:space="preserve"> una cuestión relevante a tener en cuenta es que hacia fines del 2012, con el efectivo traspaso del servicio de subterráneos a la Ciudad Autónoma de Buenos Aires, la administración, el desarrollo y el control de la operación de la Red de Subterráneos fueron asumidos por Subterráneos de Buenos Aires S.E. (SBASE). En esa oportunidad, se sancionó la Ley 4.472 de Regulación y Reestructuración del Subte, que incluyó una serie de parámetros para establecer las tarifas y contempló la posibilidad de subsidiarlas. </w:t>
      </w:r>
    </w:p>
    <w:p w:rsidR="00420789" w:rsidRPr="007D26CF" w:rsidRDefault="00420789" w:rsidP="00420789">
      <w:pPr>
        <w:pStyle w:val="NormalWeb"/>
        <w:spacing w:after="240" w:line="360" w:lineRule="auto"/>
        <w:ind w:left="11" w:firstLine="698"/>
        <w:jc w:val="both"/>
      </w:pPr>
      <w:r>
        <w:t>Que, puntualmente</w:t>
      </w:r>
      <w:r w:rsidRPr="007D26CF">
        <w:t xml:space="preserve"> en la sección correspondiente a los derechos e intervención de los usuarios, el artículo 33 de dicha norma ordenó a la autoridad de aplicación el subsidio de la totalidad de la tarifa a "aquellas personas que padezcan limitaciones físicas que impliquen un impedimento al acceso al servicio, jubilados y/o pensionados, así como estudiantes del ciclo primario de gestión estatal". A través del Acta de Directorio Nº 1067 de marzo de 2014, SBASE dispuso como destinatarias del Pase de Jubilados y/o pensionados a todas las personas jubiladas, pensionadas, retiradas de las fuerzas armadas Y de seguridad cuyo haber mensual sea hasta un 10% superior al mínimo vigente. </w:t>
      </w:r>
    </w:p>
    <w:p w:rsidR="00420789" w:rsidRPr="007D26CF" w:rsidRDefault="00420789" w:rsidP="00420789">
      <w:pPr>
        <w:pStyle w:val="NormalWeb"/>
        <w:spacing w:after="240" w:line="360" w:lineRule="auto"/>
        <w:ind w:left="11" w:firstLine="698"/>
        <w:jc w:val="both"/>
      </w:pPr>
      <w:r>
        <w:t>Que c</w:t>
      </w:r>
      <w:r w:rsidRPr="007D26CF">
        <w:t>onforme lo establecido, los interesados deben gestionar</w:t>
      </w:r>
      <w:r>
        <w:t xml:space="preserve"> el pase</w:t>
      </w:r>
      <w:r w:rsidRPr="007D26CF">
        <w:t xml:space="preserve"> en los Centros de Servicios al Usuario, donde se otorga en forma gratuita, nominativo y con validez por un año. </w:t>
      </w:r>
    </w:p>
    <w:p w:rsidR="00420789" w:rsidRPr="005869EF" w:rsidRDefault="00420789" w:rsidP="00420789">
      <w:pPr>
        <w:pStyle w:val="NormalWeb"/>
        <w:spacing w:line="360" w:lineRule="auto"/>
        <w:ind w:left="11" w:firstLine="698"/>
        <w:jc w:val="both"/>
      </w:pPr>
      <w:r>
        <w:t xml:space="preserve">Que </w:t>
      </w:r>
      <w:r w:rsidRPr="007D26CF">
        <w:t xml:space="preserve">esta iniciativa, no solo facilitará la movilidad de las personas mayores, sino que también contribuirá a su bienestar general y su integración plena en la sociedad. </w:t>
      </w:r>
    </w:p>
    <w:p w:rsidR="00420789" w:rsidRPr="00F92F41" w:rsidRDefault="00420789" w:rsidP="00420789">
      <w:pPr>
        <w:pStyle w:val="NormalWeb"/>
        <w:spacing w:before="0" w:beforeAutospacing="0" w:after="0" w:afterAutospacing="0" w:line="360" w:lineRule="auto"/>
        <w:ind w:firstLine="698"/>
        <w:jc w:val="both"/>
      </w:pPr>
      <w:r w:rsidRPr="00727BBB">
        <w:rPr>
          <w:color w:val="000000"/>
        </w:rPr>
        <w:t xml:space="preserve">Por lo expuesto, </w:t>
      </w:r>
      <w:r w:rsidRPr="00DA4865">
        <w:t>esta Comisión Permanente de Personas Mayores aconseja la aprobación de la siguiente</w:t>
      </w:r>
    </w:p>
    <w:p w:rsidR="00420789" w:rsidRPr="00727BBB" w:rsidRDefault="00420789" w:rsidP="00420789">
      <w:pPr>
        <w:pStyle w:val="NormalWeb"/>
        <w:spacing w:before="0" w:beforeAutospacing="0" w:after="240" w:afterAutospacing="0" w:line="360" w:lineRule="auto"/>
        <w:jc w:val="center"/>
      </w:pPr>
      <w:r w:rsidRPr="00727BBB">
        <w:rPr>
          <w:b/>
          <w:bCs/>
          <w:color w:val="000000"/>
        </w:rPr>
        <w:t>LEY</w:t>
      </w:r>
    </w:p>
    <w:p w:rsidR="00420789" w:rsidRPr="00841F4E" w:rsidRDefault="00420789" w:rsidP="00420789">
      <w:pPr>
        <w:shd w:val="clear" w:color="auto" w:fill="FFFFFF"/>
        <w:spacing w:before="280" w:after="280" w:line="360" w:lineRule="auto"/>
        <w:jc w:val="center"/>
        <w:rPr>
          <w:rFonts w:ascii="Times New Roman" w:eastAsia="Arial" w:hAnsi="Times New Roman" w:cs="Times New Roman"/>
          <w:b/>
          <w:color w:val="000000"/>
          <w:sz w:val="24"/>
          <w:szCs w:val="24"/>
        </w:rPr>
      </w:pPr>
      <w:r>
        <w:rPr>
          <w:rFonts w:ascii="Times New Roman" w:hAnsi="Times New Roman" w:cs="Times New Roman"/>
          <w:b/>
          <w:sz w:val="24"/>
          <w:szCs w:val="24"/>
        </w:rPr>
        <w:t>GRATUIDAD DEL TRANSPORTE SUBTERRANEO PARA PERSONAS MAYORES</w:t>
      </w:r>
    </w:p>
    <w:p w:rsidR="00420789" w:rsidRPr="007D26CF" w:rsidRDefault="00420789" w:rsidP="00420789">
      <w:pPr>
        <w:pStyle w:val="NormalWeb"/>
        <w:spacing w:after="240" w:line="360" w:lineRule="auto"/>
        <w:ind w:left="11"/>
        <w:jc w:val="both"/>
        <w:rPr>
          <w:rFonts w:eastAsia="Arial"/>
          <w:color w:val="000000"/>
        </w:rPr>
      </w:pPr>
      <w:r w:rsidRPr="00DA17AF">
        <w:rPr>
          <w:rFonts w:eastAsia="Arial"/>
          <w:b/>
          <w:color w:val="000000"/>
        </w:rPr>
        <w:t>Artículo 1º.- Objeto:</w:t>
      </w:r>
      <w:r w:rsidRPr="007D26CF">
        <w:rPr>
          <w:rFonts w:eastAsia="Arial"/>
          <w:color w:val="000000"/>
        </w:rPr>
        <w:t xml:space="preserve"> La presente ley tiene por objeto garantizar la gratuidad del transporte  subterráneo para las personas mayores de 60 (sesenta) años de menores ingresos, sin límite  horario.</w:t>
      </w:r>
    </w:p>
    <w:p w:rsidR="00420789" w:rsidRPr="007D26CF" w:rsidRDefault="00420789" w:rsidP="00420789">
      <w:pPr>
        <w:pStyle w:val="NormalWeb"/>
        <w:spacing w:after="240" w:line="360" w:lineRule="auto"/>
        <w:ind w:left="11"/>
        <w:jc w:val="both"/>
        <w:rPr>
          <w:rFonts w:eastAsia="Arial"/>
          <w:color w:val="000000"/>
        </w:rPr>
      </w:pPr>
      <w:r w:rsidRPr="00DA17AF">
        <w:rPr>
          <w:rFonts w:eastAsia="Arial"/>
          <w:b/>
          <w:color w:val="000000"/>
        </w:rPr>
        <w:t>Artículo 2º.- Beneficiarios:</w:t>
      </w:r>
      <w:r w:rsidRPr="007D26CF">
        <w:rPr>
          <w:rFonts w:eastAsia="Arial"/>
          <w:color w:val="000000"/>
        </w:rPr>
        <w:t xml:space="preserve"> Serán beneficiarias de la presente ley las personas mayores de  60 (sesenta) años que residan en </w:t>
      </w:r>
      <w:r>
        <w:rPr>
          <w:rFonts w:eastAsia="Arial"/>
          <w:color w:val="000000"/>
        </w:rPr>
        <w:t xml:space="preserve">la </w:t>
      </w:r>
      <w:r w:rsidRPr="007D26CF">
        <w:rPr>
          <w:rFonts w:eastAsia="Arial"/>
          <w:color w:val="000000"/>
        </w:rPr>
        <w:t>C</w:t>
      </w:r>
      <w:r>
        <w:rPr>
          <w:rFonts w:eastAsia="Arial"/>
          <w:color w:val="000000"/>
        </w:rPr>
        <w:t xml:space="preserve">iudad </w:t>
      </w:r>
      <w:r w:rsidRPr="007D26CF">
        <w:rPr>
          <w:rFonts w:eastAsia="Arial"/>
          <w:color w:val="000000"/>
        </w:rPr>
        <w:t>A</w:t>
      </w:r>
      <w:r>
        <w:rPr>
          <w:rFonts w:eastAsia="Arial"/>
          <w:color w:val="000000"/>
        </w:rPr>
        <w:t xml:space="preserve">utónoma de </w:t>
      </w:r>
      <w:r w:rsidRPr="007D26CF">
        <w:rPr>
          <w:rFonts w:eastAsia="Arial"/>
          <w:color w:val="000000"/>
        </w:rPr>
        <w:t>B</w:t>
      </w:r>
      <w:r>
        <w:rPr>
          <w:rFonts w:eastAsia="Arial"/>
          <w:color w:val="000000"/>
        </w:rPr>
        <w:t xml:space="preserve">uenos </w:t>
      </w:r>
      <w:r w:rsidRPr="007D26CF">
        <w:rPr>
          <w:rFonts w:eastAsia="Arial"/>
          <w:color w:val="000000"/>
        </w:rPr>
        <w:t>A</w:t>
      </w:r>
      <w:r>
        <w:rPr>
          <w:rFonts w:eastAsia="Arial"/>
          <w:color w:val="000000"/>
        </w:rPr>
        <w:t>ires</w:t>
      </w:r>
      <w:r w:rsidRPr="007D26CF">
        <w:rPr>
          <w:rFonts w:eastAsia="Arial"/>
          <w:color w:val="000000"/>
        </w:rPr>
        <w:t xml:space="preserve"> cuyos ingresos mensuales no superen el</w:t>
      </w:r>
      <w:r>
        <w:rPr>
          <w:rFonts w:eastAsia="Arial"/>
          <w:color w:val="000000"/>
        </w:rPr>
        <w:t xml:space="preserve"> valor de cinco haberes mínimos</w:t>
      </w:r>
      <w:r w:rsidRPr="007D26CF">
        <w:rPr>
          <w:rFonts w:eastAsia="Arial"/>
          <w:color w:val="000000"/>
        </w:rPr>
        <w:t xml:space="preserve"> jubilatorios fijados por la Administración Nacional de Seguridad Social (</w:t>
      </w:r>
      <w:proofErr w:type="spellStart"/>
      <w:r w:rsidRPr="007D26CF">
        <w:rPr>
          <w:rFonts w:eastAsia="Arial"/>
          <w:color w:val="000000"/>
        </w:rPr>
        <w:t>Anses</w:t>
      </w:r>
      <w:proofErr w:type="spellEnd"/>
      <w:r w:rsidRPr="007D26CF">
        <w:rPr>
          <w:rFonts w:eastAsia="Arial"/>
          <w:color w:val="000000"/>
        </w:rPr>
        <w:t>) o el  organismo que en un futuro la reemplace.</w:t>
      </w:r>
    </w:p>
    <w:p w:rsidR="00420789" w:rsidRPr="007D26CF" w:rsidRDefault="00420789" w:rsidP="00420789">
      <w:pPr>
        <w:pStyle w:val="NormalWeb"/>
        <w:spacing w:after="240" w:line="360" w:lineRule="auto"/>
        <w:ind w:left="11"/>
        <w:jc w:val="both"/>
        <w:rPr>
          <w:rFonts w:eastAsia="Arial"/>
          <w:color w:val="000000"/>
        </w:rPr>
      </w:pPr>
      <w:r>
        <w:rPr>
          <w:rFonts w:eastAsia="Arial"/>
          <w:b/>
          <w:color w:val="000000"/>
        </w:rPr>
        <w:lastRenderedPageBreak/>
        <w:t>Artículo 3º.</w:t>
      </w:r>
      <w:r w:rsidRPr="00DA17AF">
        <w:rPr>
          <w:rFonts w:eastAsia="Arial"/>
          <w:b/>
          <w:color w:val="000000"/>
        </w:rPr>
        <w:t>- Pases:</w:t>
      </w:r>
      <w:r w:rsidRPr="007D26CF">
        <w:rPr>
          <w:rFonts w:eastAsia="Arial"/>
          <w:color w:val="000000"/>
        </w:rPr>
        <w:t xml:space="preserve"> Para obtener este beneficio, las personas alcanzadas por la presente  deberán requerir un pase gratuito. El mismo podrá gestionarse en todas las estaciones  cabec</w:t>
      </w:r>
      <w:r>
        <w:rPr>
          <w:rFonts w:eastAsia="Arial"/>
          <w:color w:val="000000"/>
        </w:rPr>
        <w:t>era de subterráneos y</w:t>
      </w:r>
      <w:r w:rsidRPr="007D26CF">
        <w:rPr>
          <w:rFonts w:eastAsia="Arial"/>
          <w:color w:val="000000"/>
        </w:rPr>
        <w:t xml:space="preserve"> en todas las sedes comunales</w:t>
      </w:r>
      <w:r>
        <w:rPr>
          <w:rFonts w:eastAsia="Arial"/>
          <w:color w:val="000000"/>
        </w:rPr>
        <w:t>,</w:t>
      </w:r>
      <w:r w:rsidRPr="007D26CF">
        <w:rPr>
          <w:rFonts w:eastAsia="Arial"/>
          <w:color w:val="000000"/>
        </w:rPr>
        <w:t xml:space="preserve"> en los días y horarios  que disponga la autoridad de aplicación. Se deberá contemplar la realización del trámite por demanda espontánea, para aquellas personas a quienes se les dificulte gestionar un turno para la obtención del pase.</w:t>
      </w:r>
    </w:p>
    <w:p w:rsidR="00420789" w:rsidRPr="007D26CF" w:rsidRDefault="00420789" w:rsidP="00420789">
      <w:pPr>
        <w:pStyle w:val="NormalWeb"/>
        <w:spacing w:after="240" w:line="360" w:lineRule="auto"/>
        <w:ind w:left="11"/>
        <w:jc w:val="both"/>
        <w:rPr>
          <w:rFonts w:eastAsia="Arial"/>
          <w:color w:val="000000"/>
        </w:rPr>
      </w:pPr>
      <w:r>
        <w:rPr>
          <w:rFonts w:eastAsia="Arial"/>
          <w:b/>
          <w:color w:val="000000"/>
        </w:rPr>
        <w:t>Artículo 4º.</w:t>
      </w:r>
      <w:r w:rsidRPr="00DA17AF">
        <w:rPr>
          <w:rFonts w:eastAsia="Arial"/>
          <w:b/>
          <w:color w:val="000000"/>
        </w:rPr>
        <w:t>- Forma del Pase:</w:t>
      </w:r>
      <w:r w:rsidRPr="007D26CF">
        <w:rPr>
          <w:rFonts w:eastAsia="Arial"/>
          <w:color w:val="000000"/>
        </w:rPr>
        <w:t xml:space="preserve"> </w:t>
      </w:r>
      <w:r w:rsidR="00F913CB" w:rsidRPr="00F913CB">
        <w:rPr>
          <w:rFonts w:eastAsia="Arial"/>
          <w:color w:val="000000"/>
        </w:rPr>
        <w:t xml:space="preserve">El pase gratuito deberá materializarse en forma de tarjeta magnética. Facúltese a la autoridad de aplicación a celebrar los convenios necesarios para que este beneficio para personas mayores de 60 años alcance a las demás tarjetas magnéticas utilizadas en la red de subterráneos de la ciudad o a unificar el beneficio en un único sistema de pase que permita su utilización en los medios de transporte de </w:t>
      </w:r>
      <w:proofErr w:type="gramStart"/>
      <w:r w:rsidR="00F913CB" w:rsidRPr="00F913CB">
        <w:rPr>
          <w:rFonts w:eastAsia="Arial"/>
          <w:color w:val="000000"/>
        </w:rPr>
        <w:t>la distintas jurisdicciones</w:t>
      </w:r>
      <w:proofErr w:type="gramEnd"/>
      <w:r w:rsidR="00F913CB" w:rsidRPr="00F913CB">
        <w:rPr>
          <w:rFonts w:eastAsia="Arial"/>
          <w:color w:val="000000"/>
        </w:rPr>
        <w:t>.</w:t>
      </w:r>
    </w:p>
    <w:p w:rsidR="00420789" w:rsidRPr="007D26CF" w:rsidRDefault="00420789" w:rsidP="00420789">
      <w:pPr>
        <w:pStyle w:val="NormalWeb"/>
        <w:spacing w:after="240" w:line="360" w:lineRule="auto"/>
        <w:ind w:left="11"/>
        <w:jc w:val="both"/>
        <w:rPr>
          <w:rFonts w:eastAsia="Arial"/>
          <w:color w:val="000000"/>
        </w:rPr>
      </w:pPr>
      <w:r w:rsidRPr="00DA17AF">
        <w:rPr>
          <w:rFonts w:eastAsia="Arial"/>
          <w:b/>
          <w:color w:val="000000"/>
        </w:rPr>
        <w:t>Artículo 5</w:t>
      </w:r>
      <w:r>
        <w:rPr>
          <w:rFonts w:eastAsia="Arial"/>
          <w:b/>
          <w:color w:val="000000"/>
        </w:rPr>
        <w:t>º.</w:t>
      </w:r>
      <w:r w:rsidRPr="00DA17AF">
        <w:rPr>
          <w:rFonts w:eastAsia="Arial"/>
          <w:b/>
          <w:color w:val="000000"/>
        </w:rPr>
        <w:t>- Validez:</w:t>
      </w:r>
      <w:r w:rsidRPr="007D26CF">
        <w:rPr>
          <w:rFonts w:eastAsia="Arial"/>
          <w:color w:val="000000"/>
        </w:rPr>
        <w:t xml:space="preserve"> El pase gratuito establecido por esta ley tendrá validez vitalicia y sólo deberá ser renovado en caso de extravío.</w:t>
      </w:r>
    </w:p>
    <w:p w:rsidR="00420789" w:rsidRPr="007D26CF" w:rsidRDefault="00420789" w:rsidP="00420789">
      <w:pPr>
        <w:pStyle w:val="NormalWeb"/>
        <w:spacing w:after="240" w:line="360" w:lineRule="auto"/>
        <w:ind w:left="11"/>
        <w:jc w:val="both"/>
        <w:rPr>
          <w:rFonts w:eastAsia="Arial"/>
          <w:color w:val="000000"/>
        </w:rPr>
      </w:pPr>
      <w:r w:rsidRPr="00DA17AF">
        <w:rPr>
          <w:rFonts w:eastAsia="Arial"/>
          <w:b/>
          <w:color w:val="000000"/>
        </w:rPr>
        <w:t>Artículo 6º</w:t>
      </w:r>
      <w:r>
        <w:rPr>
          <w:rFonts w:eastAsia="Arial"/>
          <w:b/>
          <w:color w:val="000000"/>
        </w:rPr>
        <w:t>.</w:t>
      </w:r>
      <w:r w:rsidRPr="00DA17AF">
        <w:rPr>
          <w:rFonts w:eastAsia="Arial"/>
          <w:b/>
          <w:color w:val="000000"/>
        </w:rPr>
        <w:t>- Extravío:</w:t>
      </w:r>
      <w:r w:rsidRPr="007D26CF">
        <w:rPr>
          <w:rFonts w:eastAsia="Arial"/>
          <w:color w:val="000000"/>
        </w:rPr>
        <w:t xml:space="preserve"> En caso de extravío de las tarjetas magnéticas contempladas en la presente ley, las mismas podrán ser renovadas de manera gratuita en los mismos lugares, días y horarios dispuestos para su obtención. La autoridad de aplicación dispondrá la documentación a presentar para tal fin.</w:t>
      </w:r>
    </w:p>
    <w:p w:rsidR="00420789" w:rsidRPr="007D26CF" w:rsidRDefault="00420789" w:rsidP="00420789">
      <w:pPr>
        <w:pStyle w:val="NormalWeb"/>
        <w:spacing w:after="240" w:line="360" w:lineRule="auto"/>
        <w:ind w:left="11"/>
        <w:jc w:val="both"/>
        <w:rPr>
          <w:rFonts w:eastAsia="Arial"/>
          <w:color w:val="000000"/>
        </w:rPr>
      </w:pPr>
      <w:r w:rsidRPr="00DA17AF">
        <w:rPr>
          <w:rFonts w:eastAsia="Arial"/>
          <w:b/>
          <w:color w:val="000000"/>
        </w:rPr>
        <w:t>Artículo 7</w:t>
      </w:r>
      <w:r>
        <w:rPr>
          <w:rFonts w:eastAsia="Arial"/>
          <w:b/>
          <w:color w:val="000000"/>
        </w:rPr>
        <w:t>º.</w:t>
      </w:r>
      <w:r w:rsidRPr="00DA17AF">
        <w:rPr>
          <w:rFonts w:eastAsia="Arial"/>
          <w:b/>
          <w:color w:val="000000"/>
        </w:rPr>
        <w:t>- Gratuidad del Servicio:</w:t>
      </w:r>
      <w:r w:rsidRPr="007D26CF">
        <w:rPr>
          <w:rFonts w:eastAsia="Arial"/>
          <w:color w:val="000000"/>
        </w:rPr>
        <w:t xml:space="preserve"> La gratuidad del transporte subterráneo para los/as beneficiarios/as de la presente ley regirá todos los días y en todo momento en donde el servicio esté funcionando.</w:t>
      </w:r>
    </w:p>
    <w:p w:rsidR="00420789" w:rsidRPr="007D26CF" w:rsidRDefault="00420789" w:rsidP="00420789">
      <w:pPr>
        <w:pStyle w:val="NormalWeb"/>
        <w:spacing w:after="240" w:line="360" w:lineRule="auto"/>
        <w:ind w:left="11"/>
        <w:jc w:val="both"/>
        <w:rPr>
          <w:rFonts w:eastAsia="Arial"/>
          <w:color w:val="000000"/>
        </w:rPr>
      </w:pPr>
      <w:r w:rsidRPr="00DA17AF">
        <w:rPr>
          <w:rFonts w:eastAsia="Arial"/>
          <w:b/>
          <w:color w:val="000000"/>
        </w:rPr>
        <w:t>Artículo 8º.- Reglamentación:</w:t>
      </w:r>
      <w:r w:rsidRPr="007D26CF">
        <w:rPr>
          <w:rFonts w:eastAsia="Arial"/>
          <w:color w:val="000000"/>
        </w:rPr>
        <w:t xml:space="preserve"> La presente ley deberá ser reglamentada en un plazo máximo de 90 (noventa) días de su publicación en el Boletín Oficial.</w:t>
      </w:r>
    </w:p>
    <w:p w:rsidR="00420789" w:rsidRDefault="00420789" w:rsidP="00420789">
      <w:pPr>
        <w:pStyle w:val="NormalWeb"/>
        <w:spacing w:before="0" w:beforeAutospacing="0" w:after="240" w:afterAutospacing="0" w:line="360" w:lineRule="auto"/>
        <w:ind w:left="11"/>
        <w:jc w:val="both"/>
        <w:rPr>
          <w:rFonts w:eastAsia="Arial"/>
          <w:color w:val="000000"/>
          <w:kern w:val="2"/>
          <w:lang w:val="es-AR" w:eastAsia="en-US"/>
        </w:rPr>
      </w:pPr>
      <w:r w:rsidRPr="00DA17AF">
        <w:rPr>
          <w:rFonts w:eastAsia="Arial"/>
          <w:b/>
          <w:color w:val="000000"/>
          <w:kern w:val="2"/>
          <w:lang w:val="es-AR" w:eastAsia="en-US"/>
        </w:rPr>
        <w:t>Artículo 9º.- De forma:</w:t>
      </w:r>
      <w:r w:rsidRPr="007D26CF">
        <w:rPr>
          <w:rFonts w:eastAsia="Arial"/>
          <w:color w:val="000000"/>
          <w:kern w:val="2"/>
          <w:lang w:val="es-AR" w:eastAsia="en-US"/>
        </w:rPr>
        <w:t xml:space="preserve"> Comuníquese, etc.</w:t>
      </w:r>
    </w:p>
    <w:p w:rsidR="00420789" w:rsidRDefault="00420789" w:rsidP="00420789">
      <w:pPr>
        <w:pStyle w:val="NormalWeb"/>
        <w:spacing w:before="0" w:beforeAutospacing="0" w:after="240" w:afterAutospacing="0" w:line="360" w:lineRule="auto"/>
        <w:ind w:left="11"/>
        <w:jc w:val="both"/>
        <w:rPr>
          <w:color w:val="000000"/>
        </w:rPr>
      </w:pPr>
    </w:p>
    <w:p w:rsidR="00420789" w:rsidRPr="00727BBB" w:rsidRDefault="00420789" w:rsidP="00420789">
      <w:pPr>
        <w:pStyle w:val="NormalWeb"/>
        <w:spacing w:before="0" w:beforeAutospacing="0" w:after="240" w:afterAutospacing="0" w:line="360" w:lineRule="auto"/>
        <w:ind w:left="11"/>
        <w:jc w:val="both"/>
        <w:rPr>
          <w:color w:val="000000"/>
        </w:rPr>
      </w:pPr>
      <w:r w:rsidRPr="00727BBB">
        <w:rPr>
          <w:color w:val="000000"/>
        </w:rPr>
        <w:t>Salas de Comisión,  </w:t>
      </w:r>
      <w:r>
        <w:rPr>
          <w:color w:val="000000"/>
        </w:rPr>
        <w:t>4 de Junio de 2025</w:t>
      </w:r>
      <w:r w:rsidRPr="00727BBB">
        <w:rPr>
          <w:color w:val="000000"/>
        </w:rPr>
        <w:t>.</w:t>
      </w:r>
    </w:p>
    <w:p w:rsidR="00420789" w:rsidRPr="00727BBB" w:rsidRDefault="00420789" w:rsidP="00420789">
      <w:pPr>
        <w:pStyle w:val="NormalWeb"/>
        <w:spacing w:before="0" w:beforeAutospacing="0" w:after="240" w:afterAutospacing="0" w:line="360" w:lineRule="auto"/>
        <w:jc w:val="both"/>
        <w:rPr>
          <w:color w:val="000000"/>
        </w:rPr>
      </w:pPr>
    </w:p>
    <w:tbl>
      <w:tblPr>
        <w:tblW w:w="0" w:type="auto"/>
        <w:tblCellMar>
          <w:top w:w="15" w:type="dxa"/>
          <w:left w:w="15" w:type="dxa"/>
          <w:bottom w:w="15" w:type="dxa"/>
          <w:right w:w="15" w:type="dxa"/>
        </w:tblCellMar>
        <w:tblLook w:val="04A0"/>
      </w:tblPr>
      <w:tblGrid>
        <w:gridCol w:w="4368"/>
        <w:gridCol w:w="3194"/>
      </w:tblGrid>
      <w:tr w:rsidR="00420789" w:rsidRPr="00EA4A42" w:rsidTr="00493F77">
        <w:tc>
          <w:tcPr>
            <w:tcW w:w="4368" w:type="dxa"/>
            <w:tcMar>
              <w:top w:w="0" w:type="dxa"/>
              <w:left w:w="115" w:type="dxa"/>
              <w:bottom w:w="0" w:type="dxa"/>
              <w:right w:w="115" w:type="dxa"/>
            </w:tcMar>
            <w:hideMark/>
          </w:tcPr>
          <w:p w:rsidR="00420789" w:rsidRDefault="00420789" w:rsidP="00493F77">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420789" w:rsidRPr="00EA4A42" w:rsidRDefault="00420789" w:rsidP="00493F77">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Diputada María Graciela Ocaña</w:t>
            </w:r>
          </w:p>
          <w:p w:rsidR="00420789" w:rsidRPr="00EA4A42" w:rsidRDefault="00420789" w:rsidP="00493F77">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Presidente</w:t>
            </w:r>
          </w:p>
        </w:tc>
        <w:tc>
          <w:tcPr>
            <w:tcW w:w="3194" w:type="dxa"/>
            <w:tcMar>
              <w:top w:w="0" w:type="dxa"/>
              <w:left w:w="115" w:type="dxa"/>
              <w:bottom w:w="0" w:type="dxa"/>
              <w:right w:w="115" w:type="dxa"/>
            </w:tcMar>
            <w:hideMark/>
          </w:tcPr>
          <w:p w:rsidR="00420789" w:rsidRDefault="00420789" w:rsidP="00493F77">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420789" w:rsidRPr="00EA4A42" w:rsidRDefault="00420789" w:rsidP="00493F77">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Diputado Andrés La </w:t>
            </w:r>
            <w:proofErr w:type="spellStart"/>
            <w:r w:rsidRPr="00EA4A42">
              <w:rPr>
                <w:rFonts w:ascii="Times New Roman" w:eastAsia="Times New Roman" w:hAnsi="Times New Roman" w:cs="Times New Roman"/>
                <w:b/>
                <w:bCs/>
                <w:color w:val="000000"/>
                <w:kern w:val="0"/>
                <w:sz w:val="24"/>
                <w:szCs w:val="24"/>
                <w:lang w:val="es-ES" w:eastAsia="es-ES"/>
              </w:rPr>
              <w:t>Blunda</w:t>
            </w:r>
            <w:proofErr w:type="spellEnd"/>
          </w:p>
          <w:p w:rsidR="00420789" w:rsidRPr="00EA4A42" w:rsidRDefault="00420789" w:rsidP="00493F77">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Vicepresidente</w:t>
            </w:r>
          </w:p>
        </w:tc>
      </w:tr>
      <w:tr w:rsidR="00420789" w:rsidRPr="00EA4A42" w:rsidTr="00493F77">
        <w:tc>
          <w:tcPr>
            <w:tcW w:w="4368" w:type="dxa"/>
            <w:tcMar>
              <w:top w:w="0" w:type="dxa"/>
              <w:left w:w="115" w:type="dxa"/>
              <w:bottom w:w="0" w:type="dxa"/>
              <w:right w:w="115" w:type="dxa"/>
            </w:tcMar>
            <w:hideMark/>
          </w:tcPr>
          <w:p w:rsidR="00420789" w:rsidRPr="00727BBB" w:rsidRDefault="00420789" w:rsidP="00493F77">
            <w:pPr>
              <w:spacing w:after="240" w:line="360" w:lineRule="auto"/>
              <w:jc w:val="both"/>
              <w:rPr>
                <w:rFonts w:ascii="Times New Roman" w:eastAsia="Times New Roman" w:hAnsi="Times New Roman" w:cs="Times New Roman"/>
                <w:kern w:val="0"/>
                <w:sz w:val="24"/>
                <w:szCs w:val="24"/>
                <w:lang w:val="es-ES" w:eastAsia="es-ES"/>
              </w:rPr>
            </w:pPr>
          </w:p>
          <w:p w:rsidR="00420789" w:rsidRPr="00EA4A42" w:rsidRDefault="00420789" w:rsidP="00493F77">
            <w:pPr>
              <w:spacing w:after="240" w:line="360" w:lineRule="auto"/>
              <w:jc w:val="both"/>
              <w:rPr>
                <w:rFonts w:ascii="Times New Roman" w:eastAsia="Times New Roman" w:hAnsi="Times New Roman" w:cs="Times New Roman"/>
                <w:kern w:val="0"/>
                <w:sz w:val="24"/>
                <w:szCs w:val="24"/>
                <w:lang w:val="es-ES" w:eastAsia="es-ES"/>
              </w:rPr>
            </w:pPr>
          </w:p>
          <w:p w:rsidR="00420789" w:rsidRPr="00727BBB" w:rsidRDefault="00420789" w:rsidP="00493F77">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420789" w:rsidRDefault="00420789" w:rsidP="00493F77">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420789" w:rsidRPr="00EA4A42" w:rsidRDefault="00420789" w:rsidP="00493F77">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Diputada Berenice </w:t>
            </w:r>
            <w:proofErr w:type="spellStart"/>
            <w:r w:rsidRPr="00EA4A42">
              <w:rPr>
                <w:rFonts w:ascii="Times New Roman" w:eastAsia="Times New Roman" w:hAnsi="Times New Roman" w:cs="Times New Roman"/>
                <w:b/>
                <w:bCs/>
                <w:color w:val="000000"/>
                <w:kern w:val="0"/>
                <w:sz w:val="24"/>
                <w:szCs w:val="24"/>
                <w:lang w:val="es-ES" w:eastAsia="es-ES"/>
              </w:rPr>
              <w:t>Iañez</w:t>
            </w:r>
            <w:proofErr w:type="spellEnd"/>
          </w:p>
        </w:tc>
        <w:tc>
          <w:tcPr>
            <w:tcW w:w="3194" w:type="dxa"/>
            <w:tcMar>
              <w:top w:w="0" w:type="dxa"/>
              <w:left w:w="115" w:type="dxa"/>
              <w:bottom w:w="0" w:type="dxa"/>
              <w:right w:w="115" w:type="dxa"/>
            </w:tcMar>
            <w:hideMark/>
          </w:tcPr>
          <w:p w:rsidR="00420789" w:rsidRPr="00EA4A42" w:rsidRDefault="00420789" w:rsidP="00493F77">
            <w:pPr>
              <w:spacing w:after="240" w:line="360" w:lineRule="auto"/>
              <w:jc w:val="both"/>
              <w:rPr>
                <w:rFonts w:ascii="Times New Roman" w:eastAsia="Times New Roman" w:hAnsi="Times New Roman" w:cs="Times New Roman"/>
                <w:kern w:val="0"/>
                <w:sz w:val="24"/>
                <w:szCs w:val="24"/>
                <w:lang w:val="es-ES" w:eastAsia="es-ES"/>
              </w:rPr>
            </w:pPr>
          </w:p>
          <w:p w:rsidR="00420789" w:rsidRPr="00727BBB" w:rsidRDefault="00420789" w:rsidP="00493F77">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420789" w:rsidRPr="00727BBB" w:rsidRDefault="00420789" w:rsidP="00493F77">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420789" w:rsidRDefault="00420789" w:rsidP="00493F77">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420789" w:rsidRPr="00EA4A42" w:rsidRDefault="00420789" w:rsidP="00493F77">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Diputada Lucía Montenegro</w:t>
            </w:r>
          </w:p>
        </w:tc>
      </w:tr>
      <w:tr w:rsidR="00420789" w:rsidRPr="00EA4A42" w:rsidTr="00493F77">
        <w:tc>
          <w:tcPr>
            <w:tcW w:w="4368" w:type="dxa"/>
            <w:tcMar>
              <w:top w:w="0" w:type="dxa"/>
              <w:left w:w="115" w:type="dxa"/>
              <w:bottom w:w="0" w:type="dxa"/>
              <w:right w:w="115" w:type="dxa"/>
            </w:tcMar>
            <w:hideMark/>
          </w:tcPr>
          <w:p w:rsidR="00420789" w:rsidRPr="00EA4A42" w:rsidRDefault="00420789" w:rsidP="00493F77">
            <w:pPr>
              <w:spacing w:after="240" w:line="360" w:lineRule="auto"/>
              <w:jc w:val="both"/>
              <w:rPr>
                <w:rFonts w:ascii="Times New Roman" w:eastAsia="Times New Roman" w:hAnsi="Times New Roman" w:cs="Times New Roman"/>
                <w:kern w:val="0"/>
                <w:sz w:val="24"/>
                <w:szCs w:val="24"/>
                <w:lang w:val="es-ES" w:eastAsia="es-ES"/>
              </w:rPr>
            </w:pPr>
          </w:p>
          <w:p w:rsidR="00420789" w:rsidRPr="00727BBB" w:rsidRDefault="00420789" w:rsidP="00493F77">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420789" w:rsidRPr="00727BBB" w:rsidRDefault="00420789" w:rsidP="00493F77">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420789" w:rsidRDefault="00420789" w:rsidP="00493F77">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420789" w:rsidRPr="00EA4A42" w:rsidRDefault="00420789" w:rsidP="00493F77">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Diputado Matías </w:t>
            </w:r>
            <w:proofErr w:type="spellStart"/>
            <w:r w:rsidRPr="00EA4A42">
              <w:rPr>
                <w:rFonts w:ascii="Times New Roman" w:eastAsia="Times New Roman" w:hAnsi="Times New Roman" w:cs="Times New Roman"/>
                <w:b/>
                <w:bCs/>
                <w:color w:val="000000"/>
                <w:kern w:val="0"/>
                <w:sz w:val="24"/>
                <w:szCs w:val="24"/>
                <w:lang w:val="es-ES" w:eastAsia="es-ES"/>
              </w:rPr>
              <w:t>Barroetaveña</w:t>
            </w:r>
            <w:proofErr w:type="spellEnd"/>
          </w:p>
        </w:tc>
        <w:tc>
          <w:tcPr>
            <w:tcW w:w="3194" w:type="dxa"/>
            <w:tcMar>
              <w:top w:w="0" w:type="dxa"/>
              <w:left w:w="115" w:type="dxa"/>
              <w:bottom w:w="0" w:type="dxa"/>
              <w:right w:w="115" w:type="dxa"/>
            </w:tcMar>
            <w:hideMark/>
          </w:tcPr>
          <w:p w:rsidR="00420789" w:rsidRPr="00EA4A42" w:rsidRDefault="00420789" w:rsidP="00493F77">
            <w:pPr>
              <w:spacing w:after="240" w:line="360" w:lineRule="auto"/>
              <w:jc w:val="both"/>
              <w:rPr>
                <w:rFonts w:ascii="Times New Roman" w:eastAsia="Times New Roman" w:hAnsi="Times New Roman" w:cs="Times New Roman"/>
                <w:kern w:val="0"/>
                <w:sz w:val="24"/>
                <w:szCs w:val="24"/>
                <w:lang w:val="es-ES" w:eastAsia="es-ES"/>
              </w:rPr>
            </w:pPr>
          </w:p>
          <w:p w:rsidR="00420789" w:rsidRPr="00727BBB" w:rsidRDefault="00420789" w:rsidP="00493F77">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420789" w:rsidRPr="00727BBB" w:rsidRDefault="00420789" w:rsidP="00493F77">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420789" w:rsidRDefault="00420789" w:rsidP="00493F77">
            <w:pPr>
              <w:spacing w:before="240" w:after="0" w:line="360" w:lineRule="auto"/>
              <w:jc w:val="center"/>
              <w:rPr>
                <w:rFonts w:ascii="Times New Roman" w:eastAsia="Times New Roman" w:hAnsi="Times New Roman" w:cs="Times New Roman"/>
                <w:b/>
                <w:bCs/>
                <w:color w:val="000000"/>
                <w:kern w:val="0"/>
                <w:sz w:val="24"/>
                <w:szCs w:val="24"/>
                <w:lang w:val="es-ES" w:eastAsia="es-ES"/>
              </w:rPr>
            </w:pPr>
          </w:p>
          <w:p w:rsidR="00420789" w:rsidRPr="00EA4A42" w:rsidRDefault="00420789" w:rsidP="00493F77">
            <w:pPr>
              <w:spacing w:before="240" w:after="0" w:line="360" w:lineRule="auto"/>
              <w:jc w:val="center"/>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Diputado Claudio Ariel </w:t>
            </w:r>
            <w:r>
              <w:rPr>
                <w:rFonts w:ascii="Times New Roman" w:eastAsia="Times New Roman" w:hAnsi="Times New Roman" w:cs="Times New Roman"/>
                <w:b/>
                <w:bCs/>
                <w:color w:val="000000"/>
                <w:kern w:val="0"/>
                <w:sz w:val="24"/>
                <w:szCs w:val="24"/>
                <w:lang w:val="es-ES" w:eastAsia="es-ES"/>
              </w:rPr>
              <w:t xml:space="preserve">                    </w:t>
            </w:r>
            <w:r w:rsidRPr="00EA4A42">
              <w:rPr>
                <w:rFonts w:ascii="Times New Roman" w:eastAsia="Times New Roman" w:hAnsi="Times New Roman" w:cs="Times New Roman"/>
                <w:b/>
                <w:bCs/>
                <w:color w:val="000000"/>
                <w:kern w:val="0"/>
                <w:sz w:val="24"/>
                <w:szCs w:val="24"/>
                <w:lang w:val="es-ES" w:eastAsia="es-ES"/>
              </w:rPr>
              <w:t>Romero</w:t>
            </w:r>
          </w:p>
        </w:tc>
      </w:tr>
      <w:tr w:rsidR="00420789" w:rsidRPr="00EA4A42" w:rsidTr="00493F77">
        <w:tc>
          <w:tcPr>
            <w:tcW w:w="4368" w:type="dxa"/>
            <w:tcMar>
              <w:top w:w="0" w:type="dxa"/>
              <w:left w:w="115" w:type="dxa"/>
              <w:bottom w:w="0" w:type="dxa"/>
              <w:right w:w="115" w:type="dxa"/>
            </w:tcMar>
            <w:hideMark/>
          </w:tcPr>
          <w:p w:rsidR="00420789" w:rsidRPr="00EA4A42" w:rsidRDefault="00420789" w:rsidP="00493F77">
            <w:pPr>
              <w:spacing w:after="240" w:line="360" w:lineRule="auto"/>
              <w:jc w:val="both"/>
              <w:rPr>
                <w:rFonts w:ascii="Times New Roman" w:eastAsia="Times New Roman" w:hAnsi="Times New Roman" w:cs="Times New Roman"/>
                <w:kern w:val="0"/>
                <w:sz w:val="24"/>
                <w:szCs w:val="24"/>
                <w:lang w:val="es-ES" w:eastAsia="es-ES"/>
              </w:rPr>
            </w:pPr>
          </w:p>
          <w:p w:rsidR="00420789" w:rsidRPr="00727BBB" w:rsidRDefault="00420789" w:rsidP="00493F77">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420789" w:rsidRPr="00727BBB" w:rsidRDefault="00420789" w:rsidP="00493F77">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420789" w:rsidRPr="00EA4A42" w:rsidRDefault="00420789" w:rsidP="00493F77">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Diputada Aldana Belén </w:t>
            </w:r>
            <w:proofErr w:type="spellStart"/>
            <w:r w:rsidRPr="00EA4A42">
              <w:rPr>
                <w:rFonts w:ascii="Times New Roman" w:eastAsia="Times New Roman" w:hAnsi="Times New Roman" w:cs="Times New Roman"/>
                <w:b/>
                <w:bCs/>
                <w:color w:val="000000"/>
                <w:kern w:val="0"/>
                <w:sz w:val="24"/>
                <w:szCs w:val="24"/>
                <w:lang w:val="es-ES" w:eastAsia="es-ES"/>
              </w:rPr>
              <w:t>Crucitta</w:t>
            </w:r>
            <w:proofErr w:type="spellEnd"/>
          </w:p>
        </w:tc>
        <w:tc>
          <w:tcPr>
            <w:tcW w:w="3194" w:type="dxa"/>
            <w:tcMar>
              <w:top w:w="0" w:type="dxa"/>
              <w:left w:w="115" w:type="dxa"/>
              <w:bottom w:w="0" w:type="dxa"/>
              <w:right w:w="115" w:type="dxa"/>
            </w:tcMar>
            <w:hideMark/>
          </w:tcPr>
          <w:p w:rsidR="00420789" w:rsidRPr="00EA4A42" w:rsidRDefault="00420789" w:rsidP="00493F77">
            <w:pPr>
              <w:spacing w:after="240" w:line="360" w:lineRule="auto"/>
              <w:jc w:val="both"/>
              <w:rPr>
                <w:rFonts w:ascii="Times New Roman" w:eastAsia="Times New Roman" w:hAnsi="Times New Roman" w:cs="Times New Roman"/>
                <w:kern w:val="0"/>
                <w:sz w:val="24"/>
                <w:szCs w:val="24"/>
                <w:lang w:val="es-ES" w:eastAsia="es-ES"/>
              </w:rPr>
            </w:pPr>
          </w:p>
          <w:p w:rsidR="00420789" w:rsidRPr="00727BBB" w:rsidRDefault="00420789" w:rsidP="00493F77">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420789" w:rsidRPr="00727BBB" w:rsidRDefault="00420789" w:rsidP="00493F77">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420789" w:rsidRPr="00EA4A42" w:rsidRDefault="00420789" w:rsidP="00493F77">
            <w:pPr>
              <w:spacing w:before="240" w:after="0" w:line="360" w:lineRule="auto"/>
              <w:jc w:val="center"/>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Diputada María Magdalena </w:t>
            </w:r>
            <w:proofErr w:type="spellStart"/>
            <w:r w:rsidRPr="00EA4A42">
              <w:rPr>
                <w:rFonts w:ascii="Times New Roman" w:eastAsia="Times New Roman" w:hAnsi="Times New Roman" w:cs="Times New Roman"/>
                <w:b/>
                <w:bCs/>
                <w:color w:val="000000"/>
                <w:kern w:val="0"/>
                <w:sz w:val="24"/>
                <w:szCs w:val="24"/>
                <w:lang w:val="es-ES" w:eastAsia="es-ES"/>
              </w:rPr>
              <w:t>Tiesso</w:t>
            </w:r>
            <w:proofErr w:type="spellEnd"/>
          </w:p>
        </w:tc>
      </w:tr>
      <w:tr w:rsidR="00420789" w:rsidRPr="00EA4A42" w:rsidTr="00493F77">
        <w:tc>
          <w:tcPr>
            <w:tcW w:w="4368" w:type="dxa"/>
            <w:tcMar>
              <w:top w:w="0" w:type="dxa"/>
              <w:left w:w="115" w:type="dxa"/>
              <w:bottom w:w="0" w:type="dxa"/>
              <w:right w:w="115" w:type="dxa"/>
            </w:tcMar>
            <w:hideMark/>
          </w:tcPr>
          <w:p w:rsidR="00420789" w:rsidRPr="00EA4A42" w:rsidRDefault="00420789" w:rsidP="00493F77">
            <w:pPr>
              <w:spacing w:after="240" w:line="360" w:lineRule="auto"/>
              <w:jc w:val="both"/>
              <w:rPr>
                <w:rFonts w:ascii="Times New Roman" w:eastAsia="Times New Roman" w:hAnsi="Times New Roman" w:cs="Times New Roman"/>
                <w:kern w:val="0"/>
                <w:sz w:val="24"/>
                <w:szCs w:val="24"/>
                <w:lang w:val="es-ES" w:eastAsia="es-ES"/>
              </w:rPr>
            </w:pPr>
          </w:p>
          <w:p w:rsidR="00420789" w:rsidRPr="00727BBB" w:rsidRDefault="00420789" w:rsidP="00493F77">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420789" w:rsidRDefault="00420789" w:rsidP="00493F77">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420789" w:rsidRPr="00EA4A42" w:rsidRDefault="00420789" w:rsidP="00493F77">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Diputado Juan Facundo Del </w:t>
            </w:r>
            <w:proofErr w:type="spellStart"/>
            <w:r w:rsidRPr="00EA4A42">
              <w:rPr>
                <w:rFonts w:ascii="Times New Roman" w:eastAsia="Times New Roman" w:hAnsi="Times New Roman" w:cs="Times New Roman"/>
                <w:b/>
                <w:bCs/>
                <w:color w:val="000000"/>
                <w:kern w:val="0"/>
                <w:sz w:val="24"/>
                <w:szCs w:val="24"/>
                <w:lang w:val="es-ES" w:eastAsia="es-ES"/>
              </w:rPr>
              <w:t>Gaiso</w:t>
            </w:r>
            <w:proofErr w:type="spellEnd"/>
          </w:p>
        </w:tc>
        <w:tc>
          <w:tcPr>
            <w:tcW w:w="3194" w:type="dxa"/>
            <w:tcMar>
              <w:top w:w="0" w:type="dxa"/>
              <w:left w:w="115" w:type="dxa"/>
              <w:bottom w:w="0" w:type="dxa"/>
              <w:right w:w="115" w:type="dxa"/>
            </w:tcMar>
            <w:hideMark/>
          </w:tcPr>
          <w:p w:rsidR="00420789" w:rsidRPr="00EA4A42" w:rsidRDefault="00420789" w:rsidP="00493F77">
            <w:pPr>
              <w:spacing w:after="240" w:line="360" w:lineRule="auto"/>
              <w:jc w:val="both"/>
              <w:rPr>
                <w:rFonts w:ascii="Times New Roman" w:eastAsia="Times New Roman" w:hAnsi="Times New Roman" w:cs="Times New Roman"/>
                <w:kern w:val="0"/>
                <w:sz w:val="24"/>
                <w:szCs w:val="24"/>
                <w:lang w:val="es-ES" w:eastAsia="es-ES"/>
              </w:rPr>
            </w:pPr>
          </w:p>
          <w:p w:rsidR="00420789" w:rsidRPr="00727BBB" w:rsidRDefault="00420789" w:rsidP="00493F77">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420789" w:rsidRDefault="00420789" w:rsidP="00493F77">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420789" w:rsidRPr="00EA4A42" w:rsidRDefault="00420789" w:rsidP="00493F77">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Diputada Patricia Inés </w:t>
            </w:r>
            <w:proofErr w:type="spellStart"/>
            <w:r w:rsidRPr="00EA4A42">
              <w:rPr>
                <w:rFonts w:ascii="Times New Roman" w:eastAsia="Times New Roman" w:hAnsi="Times New Roman" w:cs="Times New Roman"/>
                <w:b/>
                <w:bCs/>
                <w:color w:val="000000"/>
                <w:kern w:val="0"/>
                <w:sz w:val="24"/>
                <w:szCs w:val="24"/>
                <w:lang w:val="es-ES" w:eastAsia="es-ES"/>
              </w:rPr>
              <w:t>Glize</w:t>
            </w:r>
            <w:proofErr w:type="spellEnd"/>
          </w:p>
        </w:tc>
      </w:tr>
      <w:tr w:rsidR="00420789" w:rsidRPr="00EA4A42" w:rsidTr="00493F77">
        <w:tc>
          <w:tcPr>
            <w:tcW w:w="4368" w:type="dxa"/>
            <w:tcMar>
              <w:top w:w="0" w:type="dxa"/>
              <w:left w:w="115" w:type="dxa"/>
              <w:bottom w:w="0" w:type="dxa"/>
              <w:right w:w="115" w:type="dxa"/>
            </w:tcMar>
            <w:hideMark/>
          </w:tcPr>
          <w:p w:rsidR="00420789" w:rsidRPr="00EA4A42" w:rsidRDefault="00420789" w:rsidP="00493F77">
            <w:pPr>
              <w:spacing w:after="240" w:line="360" w:lineRule="auto"/>
              <w:jc w:val="both"/>
              <w:rPr>
                <w:rFonts w:ascii="Times New Roman" w:eastAsia="Times New Roman" w:hAnsi="Times New Roman" w:cs="Times New Roman"/>
                <w:kern w:val="0"/>
                <w:sz w:val="24"/>
                <w:szCs w:val="24"/>
                <w:lang w:val="es-ES" w:eastAsia="es-ES"/>
              </w:rPr>
            </w:pPr>
          </w:p>
          <w:p w:rsidR="00420789" w:rsidRPr="00727BBB" w:rsidRDefault="00420789" w:rsidP="00493F77">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420789" w:rsidRPr="00727BBB" w:rsidRDefault="00420789" w:rsidP="00493F77">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420789" w:rsidRPr="00727BBB" w:rsidRDefault="00420789" w:rsidP="00493F77">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420789" w:rsidRPr="00EA4A42" w:rsidRDefault="00420789" w:rsidP="00493F77">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Diputado Pablo Alejandro </w:t>
            </w:r>
            <w:proofErr w:type="spellStart"/>
            <w:r w:rsidRPr="00EA4A42">
              <w:rPr>
                <w:rFonts w:ascii="Times New Roman" w:eastAsia="Times New Roman" w:hAnsi="Times New Roman" w:cs="Times New Roman"/>
                <w:b/>
                <w:bCs/>
                <w:color w:val="000000"/>
                <w:kern w:val="0"/>
                <w:sz w:val="24"/>
                <w:szCs w:val="24"/>
                <w:lang w:val="es-ES" w:eastAsia="es-ES"/>
              </w:rPr>
              <w:t>Donati</w:t>
            </w:r>
            <w:proofErr w:type="spellEnd"/>
          </w:p>
        </w:tc>
        <w:tc>
          <w:tcPr>
            <w:tcW w:w="3194" w:type="dxa"/>
            <w:tcMar>
              <w:top w:w="0" w:type="dxa"/>
              <w:left w:w="115" w:type="dxa"/>
              <w:bottom w:w="0" w:type="dxa"/>
              <w:right w:w="115" w:type="dxa"/>
            </w:tcMar>
            <w:hideMark/>
          </w:tcPr>
          <w:p w:rsidR="00420789" w:rsidRPr="00EA4A42" w:rsidRDefault="00420789" w:rsidP="00493F77">
            <w:pPr>
              <w:spacing w:after="0" w:line="360" w:lineRule="auto"/>
              <w:jc w:val="both"/>
              <w:rPr>
                <w:rFonts w:ascii="Times New Roman" w:eastAsia="Times New Roman" w:hAnsi="Times New Roman" w:cs="Times New Roman"/>
                <w:kern w:val="0"/>
                <w:sz w:val="24"/>
                <w:szCs w:val="24"/>
                <w:lang w:val="es-ES" w:eastAsia="es-ES"/>
              </w:rPr>
            </w:pPr>
          </w:p>
        </w:tc>
      </w:tr>
    </w:tbl>
    <w:p w:rsidR="00420789" w:rsidRPr="00F92F41" w:rsidRDefault="00420789" w:rsidP="00420789">
      <w:pPr>
        <w:spacing w:after="240" w:line="360" w:lineRule="auto"/>
        <w:jc w:val="both"/>
        <w:rPr>
          <w:rFonts w:ascii="Times New Roman" w:eastAsia="Times New Roman" w:hAnsi="Times New Roman" w:cs="Times New Roman"/>
          <w:kern w:val="0"/>
          <w:sz w:val="24"/>
          <w:szCs w:val="24"/>
          <w:lang w:val="es-ES" w:eastAsia="es-ES"/>
        </w:rPr>
      </w:pPr>
    </w:p>
    <w:p w:rsidR="00AF6364" w:rsidRPr="004F14B4" w:rsidRDefault="00AF6364">
      <w:pPr>
        <w:rPr>
          <w:rFonts w:ascii="Times New Roman" w:hAnsi="Times New Roman" w:cs="Times New Roman"/>
        </w:rPr>
      </w:pPr>
    </w:p>
    <w:sectPr w:rsidR="00AF6364" w:rsidRPr="004F14B4" w:rsidSect="00C60B5C">
      <w:headerReference w:type="even" r:id="rId6"/>
      <w:headerReference w:type="default" r:id="rId7"/>
      <w:footerReference w:type="even" r:id="rId8"/>
      <w:footerReference w:type="default" r:id="rId9"/>
      <w:headerReference w:type="first" r:id="rId10"/>
      <w:footerReference w:type="first" r:id="rId11"/>
      <w:pgSz w:w="12240" w:h="20160" w:code="5"/>
      <w:pgMar w:top="1418"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7447" w:rsidRDefault="00257447" w:rsidP="00AF6364">
      <w:pPr>
        <w:spacing w:after="0" w:line="240" w:lineRule="auto"/>
      </w:pPr>
      <w:r>
        <w:separator/>
      </w:r>
    </w:p>
  </w:endnote>
  <w:endnote w:type="continuationSeparator" w:id="0">
    <w:p w:rsidR="00257447" w:rsidRDefault="00257447"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B26" w:rsidRDefault="00CF4B26">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3E5098" w:rsidRPr="003E5098">
        <w:rPr>
          <w:noProof/>
          <w:color w:val="333333"/>
          <w:sz w:val="20"/>
        </w:rPr>
        <w:t>2/6/2025 16:01:00</w:t>
      </w:r>
    </w:fldSimple>
    <w:r w:rsidRPr="001C19C4">
      <w:rPr>
        <w:color w:val="333333"/>
        <w:sz w:val="20"/>
      </w:rPr>
      <w:t xml:space="preserve">  -  Cantidad de caracteres: </w:t>
    </w:r>
    <w:fldSimple w:instr=" NUMCHARS  \* MERGEFORMAT ">
      <w:r w:rsidR="003E5098" w:rsidRPr="003E5098">
        <w:rPr>
          <w:noProof/>
          <w:color w:val="333333"/>
          <w:sz w:val="20"/>
        </w:rPr>
        <w:t>8631</w:t>
      </w:r>
    </w:fldSimple>
    <w:r w:rsidRPr="001C19C4">
      <w:rPr>
        <w:color w:val="333333"/>
        <w:sz w:val="20"/>
      </w:rPr>
      <w:t xml:space="preserve"> - Cantidad de palabras: </w:t>
    </w:r>
    <w:fldSimple w:instr=" NUMWORDS  \* MERGEFORMAT ">
      <w:r w:rsidR="003E5098" w:rsidRPr="003E5098">
        <w:rPr>
          <w:noProof/>
          <w:color w:val="333333"/>
          <w:sz w:val="20"/>
        </w:rPr>
        <w:t>1612</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D50AD9" w:rsidRPr="001C19C4">
      <w:rPr>
        <w:rStyle w:val="Nmerodepgina"/>
        <w:color w:val="333333"/>
      </w:rPr>
      <w:fldChar w:fldCharType="begin"/>
    </w:r>
    <w:r w:rsidRPr="001C19C4">
      <w:rPr>
        <w:rStyle w:val="Nmerodepgina"/>
        <w:color w:val="333333"/>
      </w:rPr>
      <w:instrText xml:space="preserve"> PAGE </w:instrText>
    </w:r>
    <w:r w:rsidR="00D50AD9" w:rsidRPr="001C19C4">
      <w:rPr>
        <w:rStyle w:val="Nmerodepgina"/>
        <w:color w:val="333333"/>
      </w:rPr>
      <w:fldChar w:fldCharType="separate"/>
    </w:r>
    <w:r w:rsidR="003E5098">
      <w:rPr>
        <w:rStyle w:val="Nmerodepgina"/>
        <w:noProof/>
        <w:color w:val="333333"/>
      </w:rPr>
      <w:t>4</w:t>
    </w:r>
    <w:r w:rsidR="00D50AD9" w:rsidRPr="001C19C4">
      <w:rPr>
        <w:rStyle w:val="Nmerodepgina"/>
        <w:color w:val="333333"/>
      </w:rPr>
      <w:fldChar w:fldCharType="end"/>
    </w:r>
    <w:r w:rsidRPr="001C19C4">
      <w:rPr>
        <w:rStyle w:val="Nmerodepgina"/>
        <w:color w:val="333333"/>
      </w:rPr>
      <w:t>/</w:t>
    </w:r>
    <w:fldSimple w:instr=" NUMPAGES  \* MERGEFORMAT ">
      <w:r w:rsidR="003E5098">
        <w:rPr>
          <w:noProof/>
        </w:rPr>
        <w:t>5</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B26" w:rsidRDefault="00CF4B26">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7447" w:rsidRDefault="00257447" w:rsidP="00AF6364">
      <w:pPr>
        <w:spacing w:after="0" w:line="240" w:lineRule="auto"/>
      </w:pPr>
      <w:r>
        <w:separator/>
      </w:r>
    </w:p>
  </w:footnote>
  <w:footnote w:type="continuationSeparator" w:id="0">
    <w:p w:rsidR="00257447" w:rsidRDefault="00257447"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B26" w:rsidRDefault="00CF4B26">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31A" w:rsidRDefault="001B631A">
    <w:pPr>
      <w:pStyle w:val="Encabezado"/>
    </w:pPr>
    <w:r w:rsidRPr="001B631A">
      <w:rPr>
        <w:noProof/>
        <w:lang w:val="es-ES" w:eastAsia="es-ES"/>
      </w:rPr>
      <w:drawing>
        <wp:anchor distT="0" distB="0" distL="114300" distR="114300" simplePos="0" relativeHeight="251658240" behindDoc="1" locked="0" layoutInCell="1" allowOverlap="1">
          <wp:simplePos x="0" y="0"/>
          <wp:positionH relativeFrom="margin">
            <wp:posOffset>1647825</wp:posOffset>
          </wp:positionH>
          <wp:positionV relativeFrom="paragraph">
            <wp:posOffset>-274955</wp:posOffset>
          </wp:positionV>
          <wp:extent cx="2421255" cy="687705"/>
          <wp:effectExtent l="0" t="0" r="0" b="0"/>
          <wp:wrapTight wrapText="bothSides">
            <wp:wrapPolygon edited="0">
              <wp:start x="0" y="0"/>
              <wp:lineTo x="0" y="20942"/>
              <wp:lineTo x="21413" y="20942"/>
              <wp:lineTo x="21413" y="0"/>
              <wp:lineTo x="0" y="0"/>
            </wp:wrapPolygon>
          </wp:wrapTight>
          <wp:docPr id="1276997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21255" cy="687705"/>
                  </a:xfrm>
                  <a:prstGeom prst="rect">
                    <a:avLst/>
                  </a:prstGeom>
                  <a:noFill/>
                  <a:ln>
                    <a:noFill/>
                  </a:ln>
                </pic:spPr>
              </pic:pic>
            </a:graphicData>
          </a:graphic>
        </wp:anchor>
      </w:drawing>
    </w:r>
  </w:p>
  <w:p w:rsidR="001B631A" w:rsidRDefault="001B631A">
    <w:pPr>
      <w:pStyle w:val="Encabezado"/>
    </w:pPr>
  </w:p>
  <w:p w:rsidR="001B631A" w:rsidRDefault="001B631A">
    <w:pPr>
      <w:pStyle w:val="Encabezado"/>
    </w:pPr>
  </w:p>
  <w:p w:rsidR="00AF6364" w:rsidRDefault="00AF6364">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B26" w:rsidRDefault="00CF4B26">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attachedTemplate r:id="rId1"/>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1B631A"/>
    <w:rsid w:val="00110CAD"/>
    <w:rsid w:val="001B631A"/>
    <w:rsid w:val="00257447"/>
    <w:rsid w:val="002B0876"/>
    <w:rsid w:val="003E5098"/>
    <w:rsid w:val="00420789"/>
    <w:rsid w:val="00425C91"/>
    <w:rsid w:val="004F14B4"/>
    <w:rsid w:val="00597CD1"/>
    <w:rsid w:val="00642FC3"/>
    <w:rsid w:val="006439E3"/>
    <w:rsid w:val="00646C3C"/>
    <w:rsid w:val="006D1BAF"/>
    <w:rsid w:val="006E4861"/>
    <w:rsid w:val="0072782F"/>
    <w:rsid w:val="00746F04"/>
    <w:rsid w:val="00785CAD"/>
    <w:rsid w:val="00813615"/>
    <w:rsid w:val="0081386C"/>
    <w:rsid w:val="00887FEC"/>
    <w:rsid w:val="008D7089"/>
    <w:rsid w:val="0099664C"/>
    <w:rsid w:val="009A4135"/>
    <w:rsid w:val="00AF3B91"/>
    <w:rsid w:val="00AF6364"/>
    <w:rsid w:val="00C60B5C"/>
    <w:rsid w:val="00CF4B26"/>
    <w:rsid w:val="00D450C3"/>
    <w:rsid w:val="00D50AD9"/>
    <w:rsid w:val="00DA6887"/>
    <w:rsid w:val="00EF65D8"/>
    <w:rsid w:val="00F47AFC"/>
    <w:rsid w:val="00F913CB"/>
    <w:rsid w:val="00FB57E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789"/>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styleId="NormalWeb">
    <w:name w:val="Normal (Web)"/>
    <w:basedOn w:val="Normal"/>
    <w:uiPriority w:val="99"/>
    <w:unhideWhenUsed/>
    <w:rsid w:val="00420789"/>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morel\Downloads\Legislar202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Legislar2024</Template>
  <TotalTime>15</TotalTime>
  <Pages>5</Pages>
  <Words>1612</Words>
  <Characters>8631</Characters>
  <Application>Microsoft Office Word</Application>
  <DocSecurity>0</DocSecurity>
  <Lines>185</Lines>
  <Paragraphs>46</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10235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Javier Rios</dc:creator>
  <cp:lastModifiedBy>jumorel</cp:lastModifiedBy>
  <cp:revision>8</cp:revision>
  <cp:lastPrinted>2024-04-06T03:02:00Z</cp:lastPrinted>
  <dcterms:created xsi:type="dcterms:W3CDTF">2025-05-29T18:17:00Z</dcterms:created>
  <dcterms:modified xsi:type="dcterms:W3CDTF">2025-06-02T19:01:00Z</dcterms:modified>
</cp:coreProperties>
</file>