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54BE5" w:rsidRDefault="00854BE5" w:rsidP="002E6642">
      <w:pPr>
        <w:spacing w:after="0" w:line="240" w:lineRule="auto"/>
        <w:jc w:val="center"/>
        <w:rPr>
          <w:rFonts w:ascii="Times New Roman" w:eastAsia="Times New Roman" w:hAnsi="Times New Roman" w:cs="Times New Roman"/>
          <w:b/>
          <w:bCs/>
          <w:color w:val="000000"/>
          <w:kern w:val="0"/>
          <w:sz w:val="24"/>
          <w:szCs w:val="24"/>
          <w:u w:val="single"/>
          <w:lang w:val="es-ES" w:eastAsia="es-ES"/>
        </w:rPr>
      </w:pPr>
      <w:r w:rsidRPr="002E6642">
        <w:rPr>
          <w:rFonts w:ascii="Times New Roman" w:eastAsia="Times New Roman" w:hAnsi="Times New Roman" w:cs="Times New Roman"/>
          <w:b/>
          <w:bCs/>
          <w:color w:val="000000"/>
          <w:kern w:val="0"/>
          <w:sz w:val="24"/>
          <w:szCs w:val="24"/>
          <w:u w:val="single"/>
          <w:lang w:val="es-ES" w:eastAsia="es-ES"/>
        </w:rPr>
        <w:t>OBSERVACIONES AL DESPACHO N° 428-25:</w:t>
      </w:r>
    </w:p>
    <w:p w:rsidR="002E6642" w:rsidRPr="002E6642" w:rsidRDefault="002E6642" w:rsidP="002E6642">
      <w:pPr>
        <w:spacing w:after="0" w:line="240" w:lineRule="auto"/>
        <w:jc w:val="center"/>
        <w:rPr>
          <w:rFonts w:ascii="Times New Roman" w:eastAsia="Times New Roman" w:hAnsi="Times New Roman" w:cs="Times New Roman"/>
          <w:kern w:val="0"/>
          <w:sz w:val="24"/>
          <w:szCs w:val="24"/>
          <w:lang w:val="es-ES" w:eastAsia="es-ES"/>
        </w:rPr>
      </w:pPr>
    </w:p>
    <w:p w:rsidR="00854BE5" w:rsidRPr="002E6642" w:rsidRDefault="00854BE5" w:rsidP="002E6642">
      <w:pPr>
        <w:spacing w:after="0" w:line="240" w:lineRule="auto"/>
        <w:jc w:val="center"/>
        <w:rPr>
          <w:rFonts w:ascii="Times New Roman" w:eastAsia="Times New Roman" w:hAnsi="Times New Roman" w:cs="Times New Roman"/>
          <w:kern w:val="0"/>
          <w:sz w:val="24"/>
          <w:szCs w:val="24"/>
          <w:lang w:val="es-ES" w:eastAsia="es-ES"/>
        </w:rPr>
      </w:pPr>
      <w:r w:rsidRPr="002E6642">
        <w:rPr>
          <w:rFonts w:ascii="Times New Roman" w:eastAsia="Times New Roman" w:hAnsi="Times New Roman" w:cs="Times New Roman"/>
          <w:b/>
          <w:bCs/>
          <w:color w:val="000000"/>
          <w:kern w:val="0"/>
          <w:sz w:val="24"/>
          <w:szCs w:val="24"/>
          <w:lang w:val="es-ES" w:eastAsia="es-ES"/>
        </w:rPr>
        <w:t>“RÉGIMEN DE ACTUACIÓN DE LOS MANDATARIOS JUDICIALES EN EL ÁMBITO DE LA ADMINISTRACIÓN GUBERNAMENTAL DE INGRESOS PÚBLICOS”</w:t>
      </w:r>
    </w:p>
    <w:p w:rsidR="00854BE5" w:rsidRPr="002E6642" w:rsidRDefault="00854BE5" w:rsidP="002E6642">
      <w:pPr>
        <w:spacing w:after="0" w:line="240" w:lineRule="auto"/>
        <w:jc w:val="both"/>
        <w:rPr>
          <w:rFonts w:ascii="Times New Roman" w:eastAsia="Times New Roman" w:hAnsi="Times New Roman" w:cs="Times New Roman"/>
          <w:kern w:val="0"/>
          <w:sz w:val="24"/>
          <w:szCs w:val="24"/>
          <w:lang w:val="es-ES" w:eastAsia="es-ES"/>
        </w:rPr>
      </w:pPr>
    </w:p>
    <w:p w:rsidR="00854BE5" w:rsidRDefault="00854BE5" w:rsidP="002E6642">
      <w:pPr>
        <w:spacing w:after="0" w:line="240" w:lineRule="auto"/>
        <w:jc w:val="both"/>
        <w:rPr>
          <w:rFonts w:ascii="Times New Roman" w:eastAsia="Times New Roman" w:hAnsi="Times New Roman" w:cs="Times New Roman"/>
          <w:color w:val="000000"/>
          <w:kern w:val="0"/>
          <w:sz w:val="24"/>
          <w:szCs w:val="24"/>
          <w:lang w:val="es-ES" w:eastAsia="es-ES"/>
        </w:rPr>
      </w:pPr>
      <w:r w:rsidRPr="002E6642">
        <w:rPr>
          <w:rFonts w:ascii="Times New Roman" w:eastAsia="Times New Roman" w:hAnsi="Times New Roman" w:cs="Times New Roman"/>
          <w:color w:val="000000"/>
          <w:kern w:val="0"/>
          <w:sz w:val="24"/>
          <w:szCs w:val="24"/>
          <w:lang w:val="es-ES" w:eastAsia="es-ES"/>
        </w:rPr>
        <w:tab/>
      </w:r>
      <w:r w:rsidRPr="002E6642">
        <w:rPr>
          <w:rFonts w:ascii="Times New Roman" w:eastAsia="Times New Roman" w:hAnsi="Times New Roman" w:cs="Times New Roman"/>
          <w:color w:val="000000"/>
          <w:kern w:val="0"/>
          <w:sz w:val="24"/>
          <w:szCs w:val="24"/>
          <w:lang w:val="es-ES" w:eastAsia="es-ES"/>
        </w:rPr>
        <w:tab/>
        <w:t xml:space="preserve">Que conforme a lo previsto en el artículo 169 del Reglamento de la Legislatura de la Ciudad de Buenos Aires, venimos a plantear observaciones al </w:t>
      </w:r>
      <w:r w:rsidRPr="002E6642">
        <w:rPr>
          <w:rFonts w:ascii="Times New Roman" w:eastAsia="Times New Roman" w:hAnsi="Times New Roman" w:cs="Times New Roman"/>
          <w:b/>
          <w:bCs/>
          <w:color w:val="000000"/>
          <w:kern w:val="0"/>
          <w:sz w:val="24"/>
          <w:szCs w:val="24"/>
          <w:lang w:val="es-ES" w:eastAsia="es-ES"/>
        </w:rPr>
        <w:t>Despacho N° 428-25</w:t>
      </w:r>
      <w:r w:rsidRPr="002E6642">
        <w:rPr>
          <w:rFonts w:ascii="Times New Roman" w:eastAsia="Times New Roman" w:hAnsi="Times New Roman" w:cs="Times New Roman"/>
          <w:color w:val="000000"/>
          <w:kern w:val="0"/>
          <w:sz w:val="24"/>
          <w:szCs w:val="24"/>
          <w:lang w:val="es-ES" w:eastAsia="es-ES"/>
        </w:rPr>
        <w:t>, conforme a las consideraciones que seguidamente pasan a efectuarse:</w:t>
      </w:r>
    </w:p>
    <w:p w:rsidR="002E6642" w:rsidRPr="002E6642" w:rsidRDefault="002E6642" w:rsidP="002E6642">
      <w:pPr>
        <w:spacing w:after="0" w:line="240" w:lineRule="auto"/>
        <w:jc w:val="both"/>
        <w:rPr>
          <w:rFonts w:ascii="Times New Roman" w:eastAsia="Times New Roman" w:hAnsi="Times New Roman" w:cs="Times New Roman"/>
          <w:kern w:val="0"/>
          <w:sz w:val="24"/>
          <w:szCs w:val="24"/>
          <w:lang w:val="es-ES" w:eastAsia="es-ES"/>
        </w:rPr>
      </w:pPr>
    </w:p>
    <w:p w:rsidR="00854BE5" w:rsidRDefault="00854BE5" w:rsidP="002E6642">
      <w:pPr>
        <w:spacing w:after="0" w:line="240" w:lineRule="auto"/>
        <w:jc w:val="both"/>
        <w:rPr>
          <w:rFonts w:ascii="Times New Roman" w:eastAsia="Times New Roman" w:hAnsi="Times New Roman" w:cs="Times New Roman"/>
          <w:color w:val="000000"/>
          <w:kern w:val="0"/>
          <w:sz w:val="24"/>
          <w:szCs w:val="24"/>
          <w:lang w:val="es-ES" w:eastAsia="es-ES"/>
        </w:rPr>
      </w:pPr>
      <w:r w:rsidRPr="002E6642">
        <w:rPr>
          <w:rFonts w:ascii="Times New Roman" w:eastAsia="Times New Roman" w:hAnsi="Times New Roman" w:cs="Times New Roman"/>
          <w:color w:val="000000"/>
          <w:kern w:val="0"/>
          <w:sz w:val="24"/>
          <w:szCs w:val="24"/>
          <w:lang w:val="es-ES" w:eastAsia="es-ES"/>
        </w:rPr>
        <w:tab/>
      </w:r>
      <w:r w:rsidRPr="002E6642">
        <w:rPr>
          <w:rFonts w:ascii="Times New Roman" w:eastAsia="Times New Roman" w:hAnsi="Times New Roman" w:cs="Times New Roman"/>
          <w:color w:val="000000"/>
          <w:kern w:val="0"/>
          <w:sz w:val="24"/>
          <w:szCs w:val="24"/>
          <w:lang w:val="es-ES" w:eastAsia="es-ES"/>
        </w:rPr>
        <w:tab/>
        <w:t>Que con el propósito de asegurar que los contribuyentes puedan afrontar el cumplimiento de sus obligaciones tributarias en condiciones de justicia, equidad y razonable proporcionalidad, se propone la adopción de un régimen que evite cargas desmedidas y fortalezca la equidad fiscal, garantizando que los mecanismos de pago resulten adecuados, sostenibles y acordes con el principio de razonabilidad. En este sentido, se detalla a continuación la redacción propuesta para el artículo 3º: </w:t>
      </w:r>
    </w:p>
    <w:p w:rsidR="002E6642" w:rsidRPr="002E6642" w:rsidRDefault="002E6642" w:rsidP="002E6642">
      <w:pPr>
        <w:spacing w:after="0" w:line="240" w:lineRule="auto"/>
        <w:jc w:val="both"/>
        <w:rPr>
          <w:rFonts w:ascii="Times New Roman" w:eastAsia="Times New Roman" w:hAnsi="Times New Roman" w:cs="Times New Roman"/>
          <w:kern w:val="0"/>
          <w:sz w:val="24"/>
          <w:szCs w:val="24"/>
          <w:lang w:val="es-ES" w:eastAsia="es-ES"/>
        </w:rPr>
      </w:pPr>
    </w:p>
    <w:p w:rsidR="00854BE5" w:rsidRDefault="00854BE5" w:rsidP="002E6642">
      <w:pPr>
        <w:spacing w:after="0" w:line="240" w:lineRule="auto"/>
        <w:jc w:val="both"/>
        <w:rPr>
          <w:rFonts w:ascii="Times New Roman" w:eastAsia="Times New Roman" w:hAnsi="Times New Roman" w:cs="Times New Roman"/>
          <w:color w:val="000000"/>
          <w:kern w:val="0"/>
          <w:sz w:val="24"/>
          <w:szCs w:val="24"/>
          <w:lang w:val="es-ES" w:eastAsia="es-ES"/>
        </w:rPr>
      </w:pPr>
      <w:r w:rsidRPr="002E6642">
        <w:rPr>
          <w:rFonts w:ascii="Times New Roman" w:eastAsia="Times New Roman" w:hAnsi="Times New Roman" w:cs="Times New Roman"/>
          <w:b/>
          <w:bCs/>
          <w:color w:val="000000"/>
          <w:kern w:val="0"/>
          <w:sz w:val="24"/>
          <w:szCs w:val="24"/>
          <w:lang w:val="es-ES" w:eastAsia="es-ES"/>
        </w:rPr>
        <w:t>ARTÍCULO 3°.-</w:t>
      </w:r>
      <w:r w:rsidRPr="002E6642">
        <w:rPr>
          <w:rFonts w:ascii="Times New Roman" w:eastAsia="Times New Roman" w:hAnsi="Times New Roman" w:cs="Times New Roman"/>
          <w:color w:val="000000"/>
          <w:kern w:val="0"/>
          <w:sz w:val="24"/>
          <w:szCs w:val="24"/>
          <w:lang w:val="es-ES" w:eastAsia="es-ES"/>
        </w:rPr>
        <w:t xml:space="preserve"> Se incorpora el artículo 16 bis a la Ley 2.603, el que quedará redactado de la siguiente manera:</w:t>
      </w:r>
    </w:p>
    <w:p w:rsidR="002E6642" w:rsidRPr="002E6642" w:rsidRDefault="002E6642" w:rsidP="002E6642">
      <w:pPr>
        <w:spacing w:after="0" w:line="240" w:lineRule="auto"/>
        <w:jc w:val="both"/>
        <w:rPr>
          <w:rFonts w:ascii="Times New Roman" w:eastAsia="Times New Roman" w:hAnsi="Times New Roman" w:cs="Times New Roman"/>
          <w:kern w:val="0"/>
          <w:sz w:val="24"/>
          <w:szCs w:val="24"/>
          <w:lang w:val="es-ES" w:eastAsia="es-ES"/>
        </w:rPr>
      </w:pPr>
    </w:p>
    <w:p w:rsidR="00854BE5" w:rsidRDefault="00854BE5" w:rsidP="002E6642">
      <w:pPr>
        <w:spacing w:after="0" w:line="240" w:lineRule="auto"/>
        <w:jc w:val="both"/>
        <w:rPr>
          <w:rFonts w:ascii="Times New Roman" w:eastAsia="Times New Roman" w:hAnsi="Times New Roman" w:cs="Times New Roman"/>
          <w:color w:val="000000"/>
          <w:kern w:val="0"/>
          <w:sz w:val="24"/>
          <w:szCs w:val="24"/>
          <w:lang w:val="es-ES" w:eastAsia="es-ES"/>
        </w:rPr>
      </w:pPr>
      <w:r w:rsidRPr="002E6642">
        <w:rPr>
          <w:rFonts w:ascii="Times New Roman" w:eastAsia="Times New Roman" w:hAnsi="Times New Roman" w:cs="Times New Roman"/>
          <w:color w:val="000000"/>
          <w:kern w:val="0"/>
          <w:sz w:val="24"/>
          <w:szCs w:val="24"/>
          <w:lang w:val="es-ES" w:eastAsia="es-ES"/>
        </w:rPr>
        <w:t>“Artículo 16 bis. Mandatarios Judiciales. Función, designación, dirección y remoción. Los mandatarios judiciales pueden actuar en los procesos de ejecuciones fiscales y gestiones extrajudiciales de deudas fiscales en mora.</w:t>
      </w:r>
    </w:p>
    <w:p w:rsidR="002E6642" w:rsidRPr="002E6642" w:rsidRDefault="002E6642" w:rsidP="002E6642">
      <w:pPr>
        <w:spacing w:after="0" w:line="240" w:lineRule="auto"/>
        <w:jc w:val="both"/>
        <w:rPr>
          <w:rFonts w:ascii="Times New Roman" w:eastAsia="Times New Roman" w:hAnsi="Times New Roman" w:cs="Times New Roman"/>
          <w:kern w:val="0"/>
          <w:sz w:val="24"/>
          <w:szCs w:val="24"/>
          <w:lang w:val="es-ES" w:eastAsia="es-ES"/>
        </w:rPr>
      </w:pPr>
    </w:p>
    <w:p w:rsidR="00854BE5" w:rsidRPr="002E6642" w:rsidRDefault="00854BE5" w:rsidP="002E6642">
      <w:pPr>
        <w:spacing w:after="0" w:line="240" w:lineRule="auto"/>
        <w:jc w:val="both"/>
        <w:rPr>
          <w:rFonts w:ascii="Times New Roman" w:eastAsia="Times New Roman" w:hAnsi="Times New Roman" w:cs="Times New Roman"/>
          <w:kern w:val="0"/>
          <w:sz w:val="24"/>
          <w:szCs w:val="24"/>
          <w:lang w:val="es-ES" w:eastAsia="es-ES"/>
        </w:rPr>
      </w:pPr>
      <w:r w:rsidRPr="002E6642">
        <w:rPr>
          <w:rFonts w:ascii="Times New Roman" w:eastAsia="Times New Roman" w:hAnsi="Times New Roman" w:cs="Times New Roman"/>
          <w:b/>
          <w:bCs/>
          <w:color w:val="000000"/>
          <w:kern w:val="0"/>
          <w:sz w:val="24"/>
          <w:szCs w:val="24"/>
          <w:lang w:val="es-ES" w:eastAsia="es-ES"/>
        </w:rPr>
        <w:t>La designación de los mandatarios se efectuará mediante concurso público, conforme los requisitos generales y específicos que determine la Procuración General de la Ciudad. En todos los casos, la designación quedará perfeccionada con el otorgamiento del poder correspondiente por parte de la Procuración General, la cual establecerá asimismo las condiciones y formalidades de presentación de la documentación requerida.</w:t>
      </w:r>
    </w:p>
    <w:p w:rsidR="00854BE5" w:rsidRPr="002E6642" w:rsidRDefault="00854BE5" w:rsidP="002E6642">
      <w:pPr>
        <w:spacing w:after="0" w:line="240" w:lineRule="auto"/>
        <w:jc w:val="both"/>
        <w:rPr>
          <w:rFonts w:ascii="Times New Roman" w:eastAsia="Times New Roman" w:hAnsi="Times New Roman" w:cs="Times New Roman"/>
          <w:kern w:val="0"/>
          <w:sz w:val="24"/>
          <w:szCs w:val="24"/>
          <w:lang w:val="es-ES" w:eastAsia="es-ES"/>
        </w:rPr>
      </w:pPr>
      <w:r w:rsidRPr="002E6642">
        <w:rPr>
          <w:rFonts w:ascii="Times New Roman" w:eastAsia="Times New Roman" w:hAnsi="Times New Roman" w:cs="Times New Roman"/>
          <w:b/>
          <w:bCs/>
          <w:color w:val="000000"/>
          <w:kern w:val="0"/>
          <w:sz w:val="24"/>
          <w:szCs w:val="24"/>
          <w:lang w:val="es-ES" w:eastAsia="es-ES"/>
        </w:rPr>
        <w:t>La dirección y supervisión de los mandatarios será ejercida por la Administración Gubernamental de Ingresos Públicos, quien fijará los criterios de actuación y desempeño. </w:t>
      </w:r>
    </w:p>
    <w:p w:rsidR="00854BE5" w:rsidRPr="002E6642" w:rsidRDefault="00854BE5" w:rsidP="002E6642">
      <w:pPr>
        <w:spacing w:after="0" w:line="240" w:lineRule="auto"/>
        <w:jc w:val="both"/>
        <w:rPr>
          <w:rFonts w:ascii="Times New Roman" w:eastAsia="Times New Roman" w:hAnsi="Times New Roman" w:cs="Times New Roman"/>
          <w:kern w:val="0"/>
          <w:sz w:val="24"/>
          <w:szCs w:val="24"/>
          <w:lang w:val="es-ES" w:eastAsia="es-ES"/>
        </w:rPr>
      </w:pPr>
      <w:r w:rsidRPr="002E6642">
        <w:rPr>
          <w:rFonts w:ascii="Times New Roman" w:eastAsia="Times New Roman" w:hAnsi="Times New Roman" w:cs="Times New Roman"/>
          <w:b/>
          <w:bCs/>
          <w:color w:val="000000"/>
          <w:kern w:val="0"/>
          <w:sz w:val="24"/>
          <w:szCs w:val="24"/>
          <w:lang w:val="es-ES" w:eastAsia="es-ES"/>
        </w:rPr>
        <w:t>La distribución de los juicios se efectuará de manera equitativa y transparente, a través de un sistema de sorteo electrónico o de rotación previamente aprobado por la Administración Gubernamental de Ingresos Públicos, garantizando en todo momento la trazabilidad del procedimiento.</w:t>
      </w:r>
    </w:p>
    <w:p w:rsidR="00854BE5" w:rsidRPr="002E6642" w:rsidRDefault="00854BE5" w:rsidP="002E6642">
      <w:pPr>
        <w:spacing w:after="0" w:line="240" w:lineRule="auto"/>
        <w:jc w:val="both"/>
        <w:rPr>
          <w:rFonts w:ascii="Times New Roman" w:eastAsia="Times New Roman" w:hAnsi="Times New Roman" w:cs="Times New Roman"/>
          <w:kern w:val="0"/>
          <w:sz w:val="24"/>
          <w:szCs w:val="24"/>
          <w:lang w:val="es-ES" w:eastAsia="es-ES"/>
        </w:rPr>
      </w:pPr>
      <w:r w:rsidRPr="002E6642">
        <w:rPr>
          <w:rFonts w:ascii="Times New Roman" w:eastAsia="Times New Roman" w:hAnsi="Times New Roman" w:cs="Times New Roman"/>
          <w:b/>
          <w:bCs/>
          <w:color w:val="000000"/>
          <w:kern w:val="0"/>
          <w:sz w:val="24"/>
          <w:szCs w:val="24"/>
          <w:lang w:val="es-ES" w:eastAsia="es-ES"/>
        </w:rPr>
        <w:t>La remoción de los mandatarios será dispuesta por la Administración Gubernamental de Ingresos Públicos. Resuelta la remoción, la Procuración General procederá a la revocación del poder conferido.</w:t>
      </w:r>
    </w:p>
    <w:p w:rsidR="00854BE5" w:rsidRPr="002E6642" w:rsidRDefault="00854BE5" w:rsidP="002E6642">
      <w:pPr>
        <w:spacing w:after="0" w:line="240" w:lineRule="auto"/>
        <w:jc w:val="both"/>
        <w:rPr>
          <w:rFonts w:ascii="Times New Roman" w:eastAsia="Times New Roman" w:hAnsi="Times New Roman" w:cs="Times New Roman"/>
          <w:kern w:val="0"/>
          <w:sz w:val="24"/>
          <w:szCs w:val="24"/>
          <w:lang w:val="es-ES" w:eastAsia="es-ES"/>
        </w:rPr>
      </w:pPr>
      <w:r w:rsidRPr="002E6642">
        <w:rPr>
          <w:rFonts w:ascii="Times New Roman" w:eastAsia="Times New Roman" w:hAnsi="Times New Roman" w:cs="Times New Roman"/>
          <w:b/>
          <w:bCs/>
          <w:color w:val="000000"/>
          <w:kern w:val="0"/>
          <w:sz w:val="24"/>
          <w:szCs w:val="24"/>
          <w:lang w:val="es-ES" w:eastAsia="es-ES"/>
        </w:rPr>
        <w:t>Los mandatarios estarán sujetos a evaluaciones trienales, basadas en indicadores objetivos de desempeño previamente definidos y publicados. </w:t>
      </w:r>
    </w:p>
    <w:p w:rsidR="00854BE5" w:rsidRPr="002E6642" w:rsidRDefault="00854BE5" w:rsidP="002E6642">
      <w:pPr>
        <w:spacing w:after="0" w:line="240" w:lineRule="auto"/>
        <w:jc w:val="both"/>
        <w:rPr>
          <w:rFonts w:ascii="Times New Roman" w:eastAsia="Times New Roman" w:hAnsi="Times New Roman" w:cs="Times New Roman"/>
          <w:kern w:val="0"/>
          <w:sz w:val="24"/>
          <w:szCs w:val="24"/>
          <w:lang w:val="es-ES" w:eastAsia="es-ES"/>
        </w:rPr>
      </w:pPr>
      <w:r w:rsidRPr="002E6642">
        <w:rPr>
          <w:rFonts w:ascii="Times New Roman" w:eastAsia="Times New Roman" w:hAnsi="Times New Roman" w:cs="Times New Roman"/>
          <w:b/>
          <w:bCs/>
          <w:color w:val="000000"/>
          <w:kern w:val="0"/>
          <w:sz w:val="24"/>
          <w:szCs w:val="24"/>
          <w:lang w:val="es-ES" w:eastAsia="es-ES"/>
        </w:rPr>
        <w:t>La Procuración General, ejercerá el control sobre el proceso de selección y el sistema de asignación de causas, con el objeto de garantizar la eficiencia administrativa y asegurar la transparencia en los procedimientos.</w:t>
      </w:r>
      <w:r w:rsidRPr="002E6642">
        <w:rPr>
          <w:rFonts w:ascii="Times New Roman" w:eastAsia="Times New Roman" w:hAnsi="Times New Roman" w:cs="Times New Roman"/>
          <w:color w:val="000000"/>
          <w:kern w:val="0"/>
          <w:sz w:val="24"/>
          <w:szCs w:val="24"/>
          <w:lang w:val="es-ES" w:eastAsia="es-ES"/>
        </w:rPr>
        <w:t>”</w:t>
      </w:r>
    </w:p>
    <w:p w:rsidR="002E6642" w:rsidRDefault="002E6642" w:rsidP="002E6642">
      <w:pPr>
        <w:spacing w:after="0" w:line="240" w:lineRule="auto"/>
        <w:jc w:val="both"/>
        <w:rPr>
          <w:rFonts w:ascii="Times New Roman" w:eastAsia="Times New Roman" w:hAnsi="Times New Roman" w:cs="Times New Roman"/>
          <w:color w:val="000000"/>
          <w:kern w:val="0"/>
          <w:sz w:val="24"/>
          <w:szCs w:val="24"/>
          <w:lang w:val="es-ES" w:eastAsia="es-ES"/>
        </w:rPr>
      </w:pPr>
    </w:p>
    <w:p w:rsidR="00854BE5" w:rsidRDefault="00854BE5" w:rsidP="002E6642">
      <w:pPr>
        <w:spacing w:after="0" w:line="240" w:lineRule="auto"/>
        <w:jc w:val="both"/>
        <w:rPr>
          <w:rFonts w:ascii="Times New Roman" w:eastAsia="Times New Roman" w:hAnsi="Times New Roman" w:cs="Times New Roman"/>
          <w:color w:val="000000"/>
          <w:kern w:val="0"/>
          <w:sz w:val="24"/>
          <w:szCs w:val="24"/>
          <w:lang w:val="es-ES" w:eastAsia="es-ES"/>
        </w:rPr>
      </w:pPr>
      <w:r w:rsidRPr="002E6642">
        <w:rPr>
          <w:rFonts w:ascii="Times New Roman" w:eastAsia="Times New Roman" w:hAnsi="Times New Roman" w:cs="Times New Roman"/>
          <w:color w:val="000000"/>
          <w:kern w:val="0"/>
          <w:sz w:val="24"/>
          <w:szCs w:val="24"/>
          <w:lang w:val="es-ES" w:eastAsia="es-ES"/>
        </w:rPr>
        <w:tab/>
      </w:r>
      <w:r w:rsidRPr="002E6642">
        <w:rPr>
          <w:rFonts w:ascii="Times New Roman" w:eastAsia="Times New Roman" w:hAnsi="Times New Roman" w:cs="Times New Roman"/>
          <w:color w:val="000000"/>
          <w:kern w:val="0"/>
          <w:sz w:val="24"/>
          <w:szCs w:val="24"/>
          <w:lang w:val="es-ES" w:eastAsia="es-ES"/>
        </w:rPr>
        <w:tab/>
        <w:t>La designación de los mandatarios judiciales debe realizarse bajo pautas claras, objetivas y transparentes, garantizando la publicidad de los resultados. En este sentido, resulta indispensable que se mantenga un listado público y actualizado de los mandatarios habilitados, así como información accesible respecto de la cantidad total de casos y su distribución entre los mismos, de modo de asegurar un sistema equitativo, trazable y libre de discrecionalidad. Del mismo modo, corresponde que los mandatarios se encuentren sujetos a evaluaciones periódicas de desempeño, realizadas sobre la base de parámetros previamente estipulados y de carácter objetivo. Dicho mecanismo permitirá garantizar la eficiencia en la gestión, fortalecer la transparencia institucional y asegurar que la función se ejerza de manera acorde a los principios de justicia, equidad y proporcionalidad que deben regir la administración tributaria.</w:t>
      </w:r>
    </w:p>
    <w:p w:rsidR="002E6642" w:rsidRPr="002E6642" w:rsidRDefault="002E6642" w:rsidP="002E6642">
      <w:pPr>
        <w:spacing w:after="0" w:line="240" w:lineRule="auto"/>
        <w:jc w:val="both"/>
        <w:rPr>
          <w:rFonts w:ascii="Times New Roman" w:eastAsia="Times New Roman" w:hAnsi="Times New Roman" w:cs="Times New Roman"/>
          <w:kern w:val="0"/>
          <w:sz w:val="24"/>
          <w:szCs w:val="24"/>
          <w:lang w:val="es-ES" w:eastAsia="es-ES"/>
        </w:rPr>
      </w:pPr>
    </w:p>
    <w:p w:rsidR="00854BE5" w:rsidRDefault="00854BE5" w:rsidP="002E6642">
      <w:pPr>
        <w:spacing w:after="0" w:line="240" w:lineRule="auto"/>
        <w:jc w:val="both"/>
        <w:rPr>
          <w:rFonts w:ascii="Times New Roman" w:eastAsia="Times New Roman" w:hAnsi="Times New Roman" w:cs="Times New Roman"/>
          <w:color w:val="000000"/>
          <w:kern w:val="0"/>
          <w:sz w:val="24"/>
          <w:szCs w:val="24"/>
          <w:lang w:val="es-ES" w:eastAsia="es-ES"/>
        </w:rPr>
      </w:pPr>
      <w:r w:rsidRPr="002E6642">
        <w:rPr>
          <w:rFonts w:ascii="Times New Roman" w:eastAsia="Times New Roman" w:hAnsi="Times New Roman" w:cs="Times New Roman"/>
          <w:color w:val="000000"/>
          <w:kern w:val="0"/>
          <w:sz w:val="24"/>
          <w:szCs w:val="24"/>
          <w:lang w:val="es-ES" w:eastAsia="es-ES"/>
        </w:rPr>
        <w:t>Asimismo, se propone la modificación de los artículos 4 y 5 del Despacho N° 428-25, los cuales serán reemplazados por la siguiente redacción:</w:t>
      </w:r>
    </w:p>
    <w:p w:rsidR="002E6642" w:rsidRPr="002E6642" w:rsidRDefault="002E6642" w:rsidP="002E6642">
      <w:pPr>
        <w:spacing w:after="0" w:line="240" w:lineRule="auto"/>
        <w:jc w:val="both"/>
        <w:rPr>
          <w:rFonts w:ascii="Times New Roman" w:eastAsia="Times New Roman" w:hAnsi="Times New Roman" w:cs="Times New Roman"/>
          <w:kern w:val="0"/>
          <w:sz w:val="24"/>
          <w:szCs w:val="24"/>
          <w:lang w:val="es-ES" w:eastAsia="es-ES"/>
        </w:rPr>
      </w:pPr>
    </w:p>
    <w:p w:rsidR="00854BE5" w:rsidRPr="002E6642" w:rsidRDefault="00854BE5" w:rsidP="002E6642">
      <w:pPr>
        <w:spacing w:after="0" w:line="240" w:lineRule="auto"/>
        <w:jc w:val="both"/>
        <w:rPr>
          <w:rFonts w:ascii="Times New Roman" w:eastAsia="Times New Roman" w:hAnsi="Times New Roman" w:cs="Times New Roman"/>
          <w:kern w:val="0"/>
          <w:sz w:val="24"/>
          <w:szCs w:val="24"/>
          <w:lang w:val="es-ES" w:eastAsia="es-ES"/>
        </w:rPr>
      </w:pPr>
      <w:r w:rsidRPr="002E6642">
        <w:rPr>
          <w:rFonts w:ascii="Times New Roman" w:eastAsia="Times New Roman" w:hAnsi="Times New Roman" w:cs="Times New Roman"/>
          <w:b/>
          <w:bCs/>
          <w:color w:val="000000"/>
          <w:kern w:val="0"/>
          <w:sz w:val="24"/>
          <w:szCs w:val="24"/>
          <w:lang w:val="es-ES" w:eastAsia="es-ES"/>
        </w:rPr>
        <w:lastRenderedPageBreak/>
        <w:t xml:space="preserve">ARTÍCULO 4°.- </w:t>
      </w:r>
      <w:r w:rsidRPr="002E6642">
        <w:rPr>
          <w:rFonts w:ascii="Times New Roman" w:eastAsia="Times New Roman" w:hAnsi="Times New Roman" w:cs="Times New Roman"/>
          <w:color w:val="000000"/>
          <w:kern w:val="0"/>
          <w:sz w:val="24"/>
          <w:szCs w:val="24"/>
          <w:lang w:val="es-ES" w:eastAsia="es-ES"/>
        </w:rPr>
        <w:t>Se incorpora el artículo 16 ter a la Ley 2.603, el que quedará redactado de la siguiente manera:</w:t>
      </w:r>
    </w:p>
    <w:p w:rsidR="00854BE5" w:rsidRDefault="00854BE5" w:rsidP="002E6642">
      <w:pPr>
        <w:spacing w:after="0" w:line="240" w:lineRule="auto"/>
        <w:jc w:val="both"/>
        <w:rPr>
          <w:rFonts w:ascii="Times New Roman" w:eastAsia="Times New Roman" w:hAnsi="Times New Roman" w:cs="Times New Roman"/>
          <w:color w:val="000000"/>
          <w:kern w:val="0"/>
          <w:sz w:val="24"/>
          <w:szCs w:val="24"/>
          <w:lang w:val="es-ES" w:eastAsia="es-ES"/>
        </w:rPr>
      </w:pPr>
      <w:r w:rsidRPr="002E6642">
        <w:rPr>
          <w:rFonts w:ascii="Times New Roman" w:eastAsia="Times New Roman" w:hAnsi="Times New Roman" w:cs="Times New Roman"/>
          <w:color w:val="000000"/>
          <w:kern w:val="0"/>
          <w:sz w:val="24"/>
          <w:szCs w:val="24"/>
          <w:lang w:val="es-ES" w:eastAsia="es-ES"/>
        </w:rPr>
        <w:t>“Artículo 16 ter. Regulación de Honorarios de Mandatarios Judiciales para ejecuciones fiscales y gestiones extrajudiciales. En los juicios de ejecuciones fiscales y gestiones extrajudiciales de deudas fiscales en mora, en los casos en que el contribuyente opte por abonar la deuda en forma extrajudicial, el mandatario judicial efectuará la liquidación en concepto de honorarios, por su labor judicial y/o extrajudicial, de acuerdo al siguiente mecanismo:  </w:t>
      </w:r>
    </w:p>
    <w:p w:rsidR="002E6642" w:rsidRPr="002E6642" w:rsidRDefault="002E6642" w:rsidP="002E6642">
      <w:pPr>
        <w:spacing w:after="0" w:line="240" w:lineRule="auto"/>
        <w:jc w:val="both"/>
        <w:rPr>
          <w:rFonts w:ascii="Times New Roman" w:eastAsia="Times New Roman" w:hAnsi="Times New Roman" w:cs="Times New Roman"/>
          <w:color w:val="000000"/>
          <w:kern w:val="0"/>
          <w:sz w:val="24"/>
          <w:szCs w:val="24"/>
          <w:lang w:val="es-ES" w:eastAsia="es-ES"/>
        </w:rPr>
      </w:pPr>
    </w:p>
    <w:p w:rsidR="00854BE5" w:rsidRPr="002E6642" w:rsidRDefault="00854BE5" w:rsidP="002E6642">
      <w:pPr>
        <w:spacing w:after="0" w:line="240" w:lineRule="auto"/>
        <w:jc w:val="both"/>
        <w:rPr>
          <w:rFonts w:ascii="Times New Roman" w:eastAsia="Times New Roman" w:hAnsi="Times New Roman" w:cs="Times New Roman"/>
          <w:kern w:val="0"/>
          <w:sz w:val="24"/>
          <w:szCs w:val="24"/>
          <w:lang w:val="es-ES" w:eastAsia="es-ES"/>
        </w:rPr>
      </w:pPr>
      <w:r w:rsidRPr="002E6642">
        <w:rPr>
          <w:rFonts w:ascii="Times New Roman" w:eastAsia="Times New Roman" w:hAnsi="Times New Roman" w:cs="Times New Roman"/>
          <w:noProof/>
          <w:kern w:val="0"/>
          <w:sz w:val="24"/>
          <w:szCs w:val="24"/>
          <w:lang w:val="es-ES" w:eastAsia="es-ES"/>
        </w:rPr>
        <w:drawing>
          <wp:inline distT="0" distB="0" distL="0" distR="0">
            <wp:extent cx="5534025" cy="1371600"/>
            <wp:effectExtent l="19050" t="0" r="9525" b="0"/>
            <wp:docPr id="1" name="0 Imagen" descr="WhatsApp Image 2025-09-02 at 21.54.4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5-09-02 at 21.54.43.jpeg"/>
                    <pic:cNvPicPr/>
                  </pic:nvPicPr>
                  <pic:blipFill>
                    <a:blip r:embed="rId6" cstate="print"/>
                    <a:stretch>
                      <a:fillRect/>
                    </a:stretch>
                  </pic:blipFill>
                  <pic:spPr>
                    <a:xfrm>
                      <a:off x="0" y="0"/>
                      <a:ext cx="5534025" cy="1371600"/>
                    </a:xfrm>
                    <a:prstGeom prst="rect">
                      <a:avLst/>
                    </a:prstGeom>
                  </pic:spPr>
                </pic:pic>
              </a:graphicData>
            </a:graphic>
          </wp:inline>
        </w:drawing>
      </w:r>
    </w:p>
    <w:p w:rsidR="00854BE5" w:rsidRPr="002E6642" w:rsidRDefault="00854BE5" w:rsidP="002E6642">
      <w:pPr>
        <w:spacing w:after="0" w:line="240" w:lineRule="auto"/>
        <w:jc w:val="both"/>
        <w:rPr>
          <w:rFonts w:ascii="Times New Roman" w:eastAsia="Times New Roman" w:hAnsi="Times New Roman" w:cs="Times New Roman"/>
          <w:kern w:val="0"/>
          <w:sz w:val="24"/>
          <w:szCs w:val="24"/>
          <w:lang w:val="es-ES" w:eastAsia="es-ES"/>
        </w:rPr>
      </w:pPr>
    </w:p>
    <w:p w:rsidR="00854BE5" w:rsidRDefault="00854BE5" w:rsidP="002E6642">
      <w:pPr>
        <w:spacing w:after="0" w:line="240" w:lineRule="auto"/>
        <w:jc w:val="both"/>
        <w:rPr>
          <w:rFonts w:ascii="Times New Roman" w:eastAsia="Times New Roman" w:hAnsi="Times New Roman" w:cs="Times New Roman"/>
          <w:color w:val="000000"/>
          <w:kern w:val="0"/>
          <w:sz w:val="24"/>
          <w:szCs w:val="24"/>
          <w:lang w:val="es-ES" w:eastAsia="es-ES"/>
        </w:rPr>
      </w:pPr>
      <w:r w:rsidRPr="002E6642">
        <w:rPr>
          <w:rFonts w:ascii="Times New Roman" w:eastAsia="Times New Roman" w:hAnsi="Times New Roman" w:cs="Times New Roman"/>
          <w:color w:val="000000"/>
          <w:kern w:val="0"/>
          <w:sz w:val="24"/>
          <w:szCs w:val="24"/>
          <w:lang w:val="es-ES" w:eastAsia="es-ES"/>
        </w:rPr>
        <w:t>La liquidación de los honorarios descrita se realizará en base al monto de la deuda reclamada con más los intereses devengados a la fecha de pago, o del monto regularizado con más los intereses devengados a la fecha de acogimiento correspondientes a esa ejecución fiscal, tomando la base que fuere menor, sin importar la etapa procesal en la que se encuentre.</w:t>
      </w:r>
    </w:p>
    <w:p w:rsidR="002E6642" w:rsidRPr="002E6642" w:rsidRDefault="002E6642" w:rsidP="002E6642">
      <w:pPr>
        <w:spacing w:after="0" w:line="240" w:lineRule="auto"/>
        <w:jc w:val="both"/>
        <w:rPr>
          <w:rFonts w:ascii="Times New Roman" w:eastAsia="Times New Roman" w:hAnsi="Times New Roman" w:cs="Times New Roman"/>
          <w:kern w:val="0"/>
          <w:sz w:val="24"/>
          <w:szCs w:val="24"/>
          <w:lang w:val="es-ES" w:eastAsia="es-ES"/>
        </w:rPr>
      </w:pPr>
    </w:p>
    <w:p w:rsidR="00854BE5" w:rsidRDefault="00854BE5" w:rsidP="002E6642">
      <w:pPr>
        <w:spacing w:after="0" w:line="240" w:lineRule="auto"/>
        <w:jc w:val="both"/>
        <w:rPr>
          <w:rFonts w:ascii="Times New Roman" w:eastAsia="Times New Roman" w:hAnsi="Times New Roman" w:cs="Times New Roman"/>
          <w:color w:val="000000"/>
          <w:kern w:val="0"/>
          <w:sz w:val="24"/>
          <w:szCs w:val="24"/>
          <w:lang w:val="es-ES" w:eastAsia="es-ES"/>
        </w:rPr>
      </w:pPr>
      <w:r w:rsidRPr="002E6642">
        <w:rPr>
          <w:rFonts w:ascii="Times New Roman" w:eastAsia="Times New Roman" w:hAnsi="Times New Roman" w:cs="Times New Roman"/>
          <w:color w:val="000000"/>
          <w:kern w:val="0"/>
          <w:sz w:val="24"/>
          <w:szCs w:val="24"/>
          <w:lang w:val="es-ES" w:eastAsia="es-ES"/>
        </w:rPr>
        <w:t>En los casos en que la deuda se regularice mediante la suscripción de un plan de facilidades de pago, el mandatario judicial deberá liquidar sus honorarios de acuerdo al mecanismo establecido en el presente artículo, con independencia de la etapa procesal en que se encuentre, salvo aquéllos que se encuentren regulados y firmes.</w:t>
      </w:r>
    </w:p>
    <w:p w:rsidR="002E6642" w:rsidRPr="002E6642" w:rsidRDefault="002E6642" w:rsidP="002E6642">
      <w:pPr>
        <w:spacing w:after="0" w:line="240" w:lineRule="auto"/>
        <w:jc w:val="both"/>
        <w:rPr>
          <w:rFonts w:ascii="Times New Roman" w:eastAsia="Times New Roman" w:hAnsi="Times New Roman" w:cs="Times New Roman"/>
          <w:kern w:val="0"/>
          <w:sz w:val="24"/>
          <w:szCs w:val="24"/>
          <w:lang w:val="es-ES" w:eastAsia="es-ES"/>
        </w:rPr>
      </w:pPr>
    </w:p>
    <w:p w:rsidR="00854BE5" w:rsidRDefault="00854BE5" w:rsidP="002E6642">
      <w:pPr>
        <w:spacing w:after="0" w:line="240" w:lineRule="auto"/>
        <w:jc w:val="both"/>
        <w:rPr>
          <w:rFonts w:ascii="Times New Roman" w:eastAsia="Times New Roman" w:hAnsi="Times New Roman" w:cs="Times New Roman"/>
          <w:color w:val="000000"/>
          <w:kern w:val="0"/>
          <w:sz w:val="24"/>
          <w:szCs w:val="24"/>
          <w:lang w:val="es-ES" w:eastAsia="es-ES"/>
        </w:rPr>
      </w:pPr>
      <w:r w:rsidRPr="002E6642">
        <w:rPr>
          <w:rFonts w:ascii="Times New Roman" w:eastAsia="Times New Roman" w:hAnsi="Times New Roman" w:cs="Times New Roman"/>
          <w:color w:val="000000"/>
          <w:kern w:val="0"/>
          <w:sz w:val="24"/>
          <w:szCs w:val="24"/>
          <w:lang w:val="es-ES" w:eastAsia="es-ES"/>
        </w:rPr>
        <w:t>A dicho monto se adicionará el IVA en los casos que corresponda, a cuyo efecto el mandatario deberá acreditar dicha condición al iniciar el expediente judicial, o en su caso, comunicarlo de inmediato en el expediente si tal condición se adquiriese con posterioridad al inicio del juicio. También deberá comunicarlo fehacientemente a la Administración Gubernamental de Ingresos Públicos dentro de los tres (3) días de adquirida dicha condición. Esta escala de honorarios deberá fijarse en lugar visible en las oficinas de atención al público. Excepto los supuestos de otorgamiento de planes de facilidades y/o regímenes de moratoria establecidos por la Legislatura de la Ciudad Autónoma de Buenos Aires y/o el  pago simultáneo bajo las modalidades autorizadas por la Administración Gubernamental de Ingresos Públicos -AGIP-, no se admite el cobro de honorarios hasta la íntegra satisfacción del crédito fiscal.</w:t>
      </w:r>
    </w:p>
    <w:p w:rsidR="002E6642" w:rsidRPr="002E6642" w:rsidRDefault="002E6642" w:rsidP="002E6642">
      <w:pPr>
        <w:spacing w:after="0" w:line="240" w:lineRule="auto"/>
        <w:jc w:val="both"/>
        <w:rPr>
          <w:rFonts w:ascii="Times New Roman" w:eastAsia="Times New Roman" w:hAnsi="Times New Roman" w:cs="Times New Roman"/>
          <w:kern w:val="0"/>
          <w:sz w:val="24"/>
          <w:szCs w:val="24"/>
          <w:lang w:val="es-ES" w:eastAsia="es-ES"/>
        </w:rPr>
      </w:pPr>
    </w:p>
    <w:p w:rsidR="00854BE5" w:rsidRDefault="00854BE5" w:rsidP="002E6642">
      <w:pPr>
        <w:spacing w:after="0" w:line="240" w:lineRule="auto"/>
        <w:jc w:val="both"/>
        <w:rPr>
          <w:rFonts w:ascii="Times New Roman" w:eastAsia="Times New Roman" w:hAnsi="Times New Roman" w:cs="Times New Roman"/>
          <w:color w:val="000000"/>
          <w:kern w:val="0"/>
          <w:sz w:val="24"/>
          <w:szCs w:val="24"/>
          <w:lang w:val="es-ES" w:eastAsia="es-ES"/>
        </w:rPr>
      </w:pPr>
      <w:r w:rsidRPr="002E6642">
        <w:rPr>
          <w:rFonts w:ascii="Times New Roman" w:eastAsia="Times New Roman" w:hAnsi="Times New Roman" w:cs="Times New Roman"/>
          <w:color w:val="000000"/>
          <w:kern w:val="0"/>
          <w:sz w:val="24"/>
          <w:szCs w:val="24"/>
          <w:lang w:val="es-ES" w:eastAsia="es-ES"/>
        </w:rPr>
        <w:t>El organismo deberá adecuar sus sistemas de liquidación a los fines del reflejo del presente.”</w:t>
      </w:r>
    </w:p>
    <w:p w:rsidR="002E6642" w:rsidRPr="002E6642" w:rsidRDefault="002E6642" w:rsidP="002E6642">
      <w:pPr>
        <w:spacing w:after="0" w:line="240" w:lineRule="auto"/>
        <w:jc w:val="both"/>
        <w:rPr>
          <w:rFonts w:ascii="Times New Roman" w:eastAsia="Times New Roman" w:hAnsi="Times New Roman" w:cs="Times New Roman"/>
          <w:kern w:val="0"/>
          <w:sz w:val="24"/>
          <w:szCs w:val="24"/>
          <w:lang w:val="es-ES" w:eastAsia="es-ES"/>
        </w:rPr>
      </w:pPr>
    </w:p>
    <w:p w:rsidR="00854BE5" w:rsidRDefault="00854BE5" w:rsidP="002E6642">
      <w:pPr>
        <w:spacing w:after="0" w:line="240" w:lineRule="auto"/>
        <w:jc w:val="both"/>
        <w:rPr>
          <w:rFonts w:ascii="Times New Roman" w:eastAsia="Times New Roman" w:hAnsi="Times New Roman" w:cs="Times New Roman"/>
          <w:color w:val="000000"/>
          <w:kern w:val="0"/>
          <w:sz w:val="24"/>
          <w:szCs w:val="24"/>
          <w:lang w:val="es-ES" w:eastAsia="es-ES"/>
        </w:rPr>
      </w:pPr>
      <w:r w:rsidRPr="002E6642">
        <w:rPr>
          <w:rFonts w:ascii="Times New Roman" w:eastAsia="Times New Roman" w:hAnsi="Times New Roman" w:cs="Times New Roman"/>
          <w:color w:val="000000"/>
          <w:kern w:val="0"/>
          <w:sz w:val="24"/>
          <w:szCs w:val="24"/>
          <w:lang w:val="es-ES" w:eastAsia="es-ES"/>
        </w:rPr>
        <w:tab/>
        <w:t>Para que el sistema de recupero de deudas sea más justo y accesible para todos, esta modificación pone al contribuyente en primer lugar. Proponemos una regla clara y proporcional: un honorario del veinte por ciento (20%) sobre el monto de la deuda para todos los casos de hasta siete (7) UMA. El beneficio es directo y sustancial. Una deuda de 0,5 UMA, que con el sistema actual genera honorarios por el 100% de su valor (0,5 UMA), con esta propuesta pasará a tener un costo previsible y razonable del 20% (0,1 UMA). Para deudas superiores a siete (7) UMA, se mantiene el criterio del 10% con un piso de 1,5 UMA (aproximadamente 20% de 7 UMA). De esta manera, se consolida un esquema que acompaña al contribuyente, garantizando que el costo de la gestión sea siempre una porción lógica y proporcional de la deuda original.</w:t>
      </w:r>
      <w:r w:rsidRPr="002E6642">
        <w:rPr>
          <w:rFonts w:ascii="Times New Roman" w:eastAsia="Times New Roman" w:hAnsi="Times New Roman" w:cs="Times New Roman"/>
          <w:color w:val="000000"/>
          <w:kern w:val="0"/>
          <w:sz w:val="24"/>
          <w:szCs w:val="24"/>
          <w:lang w:val="es-ES" w:eastAsia="es-ES"/>
        </w:rPr>
        <w:tab/>
      </w:r>
    </w:p>
    <w:p w:rsidR="002E6642" w:rsidRPr="002E6642" w:rsidRDefault="002E6642" w:rsidP="002E6642">
      <w:pPr>
        <w:spacing w:after="0" w:line="240" w:lineRule="auto"/>
        <w:jc w:val="both"/>
        <w:rPr>
          <w:rFonts w:ascii="Times New Roman" w:eastAsia="Times New Roman" w:hAnsi="Times New Roman" w:cs="Times New Roman"/>
          <w:kern w:val="0"/>
          <w:sz w:val="24"/>
          <w:szCs w:val="24"/>
          <w:lang w:val="es-ES" w:eastAsia="es-ES"/>
        </w:rPr>
      </w:pPr>
    </w:p>
    <w:p w:rsidR="00854BE5" w:rsidRDefault="00854BE5" w:rsidP="002E6642">
      <w:pPr>
        <w:spacing w:after="0" w:line="240" w:lineRule="auto"/>
        <w:jc w:val="both"/>
        <w:rPr>
          <w:rFonts w:ascii="Times New Roman" w:eastAsia="Times New Roman" w:hAnsi="Times New Roman" w:cs="Times New Roman"/>
          <w:color w:val="000000"/>
          <w:kern w:val="0"/>
          <w:sz w:val="24"/>
          <w:szCs w:val="24"/>
          <w:lang w:val="es-ES" w:eastAsia="es-ES"/>
        </w:rPr>
      </w:pPr>
      <w:r w:rsidRPr="002E6642">
        <w:rPr>
          <w:rFonts w:ascii="Times New Roman" w:eastAsia="Times New Roman" w:hAnsi="Times New Roman" w:cs="Times New Roman"/>
          <w:b/>
          <w:bCs/>
          <w:color w:val="000000"/>
          <w:kern w:val="0"/>
          <w:sz w:val="24"/>
          <w:szCs w:val="24"/>
          <w:lang w:val="es-ES" w:eastAsia="es-ES"/>
        </w:rPr>
        <w:t>ARTÍCULO 5°.-</w:t>
      </w:r>
      <w:r w:rsidRPr="002E6642">
        <w:rPr>
          <w:rFonts w:ascii="Times New Roman" w:eastAsia="Times New Roman" w:hAnsi="Times New Roman" w:cs="Times New Roman"/>
          <w:color w:val="000000"/>
          <w:kern w:val="0"/>
          <w:sz w:val="24"/>
          <w:szCs w:val="24"/>
          <w:lang w:val="es-ES" w:eastAsia="es-ES"/>
        </w:rPr>
        <w:t xml:space="preserve"> Se modifica el artículo 71 del Código Fiscal (texto ordenado Decreto N° 116/25), el que quedará redactado de la siguiente manera:</w:t>
      </w:r>
    </w:p>
    <w:p w:rsidR="002E6642" w:rsidRPr="002E6642" w:rsidRDefault="002E6642" w:rsidP="002E6642">
      <w:pPr>
        <w:spacing w:after="0" w:line="240" w:lineRule="auto"/>
        <w:jc w:val="both"/>
        <w:rPr>
          <w:rFonts w:ascii="Times New Roman" w:eastAsia="Times New Roman" w:hAnsi="Times New Roman" w:cs="Times New Roman"/>
          <w:kern w:val="0"/>
          <w:sz w:val="24"/>
          <w:szCs w:val="24"/>
          <w:lang w:val="es-ES" w:eastAsia="es-ES"/>
        </w:rPr>
      </w:pPr>
    </w:p>
    <w:p w:rsidR="00854BE5" w:rsidRPr="002E6642" w:rsidRDefault="00854BE5" w:rsidP="002E6642">
      <w:pPr>
        <w:spacing w:after="0" w:line="240" w:lineRule="auto"/>
        <w:jc w:val="both"/>
        <w:rPr>
          <w:rFonts w:ascii="Times New Roman" w:eastAsia="Times New Roman" w:hAnsi="Times New Roman" w:cs="Times New Roman"/>
          <w:kern w:val="0"/>
          <w:sz w:val="24"/>
          <w:szCs w:val="24"/>
          <w:lang w:val="es-ES" w:eastAsia="es-ES"/>
        </w:rPr>
      </w:pPr>
      <w:r w:rsidRPr="002E6642">
        <w:rPr>
          <w:rFonts w:ascii="Times New Roman" w:eastAsia="Times New Roman" w:hAnsi="Times New Roman" w:cs="Times New Roman"/>
          <w:color w:val="000000"/>
          <w:kern w:val="0"/>
          <w:sz w:val="24"/>
          <w:szCs w:val="24"/>
          <w:lang w:val="es-ES" w:eastAsia="es-ES"/>
        </w:rPr>
        <w:t>“Montos mínimos:</w:t>
      </w:r>
    </w:p>
    <w:p w:rsidR="00854BE5" w:rsidRDefault="00854BE5" w:rsidP="002E6642">
      <w:pPr>
        <w:spacing w:after="0" w:line="240" w:lineRule="auto"/>
        <w:jc w:val="both"/>
        <w:rPr>
          <w:rFonts w:ascii="Times New Roman" w:eastAsia="Times New Roman" w:hAnsi="Times New Roman" w:cs="Times New Roman"/>
          <w:color w:val="000000"/>
          <w:kern w:val="0"/>
          <w:sz w:val="24"/>
          <w:szCs w:val="24"/>
          <w:lang w:val="es-ES" w:eastAsia="es-ES"/>
        </w:rPr>
      </w:pPr>
      <w:r w:rsidRPr="002E6642">
        <w:rPr>
          <w:rFonts w:ascii="Times New Roman" w:eastAsia="Times New Roman" w:hAnsi="Times New Roman" w:cs="Times New Roman"/>
          <w:color w:val="000000"/>
          <w:kern w:val="0"/>
          <w:sz w:val="24"/>
          <w:szCs w:val="24"/>
          <w:lang w:val="es-ES" w:eastAsia="es-ES"/>
        </w:rPr>
        <w:t xml:space="preserve">Artículo 71.- La Administración Gubernamental de Ingresos Públicos puede no realizar gestiones administrativas de cobro por deudas provenientes de las obligaciones tributarias a que se refiere el artículo 1º de este Código, y por retribuciones por los servicios y servicios </w:t>
      </w:r>
      <w:r w:rsidRPr="002E6642">
        <w:rPr>
          <w:rFonts w:ascii="Times New Roman" w:eastAsia="Times New Roman" w:hAnsi="Times New Roman" w:cs="Times New Roman"/>
          <w:color w:val="000000"/>
          <w:kern w:val="0"/>
          <w:sz w:val="24"/>
          <w:szCs w:val="24"/>
          <w:lang w:val="es-ES" w:eastAsia="es-ES"/>
        </w:rPr>
        <w:lastRenderedPageBreak/>
        <w:t>especiales que preste el Gobierno de la Ciudad Autónoma de Buenos Aires, cuando el monto de las liquidaciones o de las diferencias que surjan por reajustes, por cada impuesto, derecho, tasa, contribución (incluidos multas e intereses) y período fiscal es inferior a los montos que fije la Ley Tarifaria.</w:t>
      </w:r>
    </w:p>
    <w:p w:rsidR="002E6642" w:rsidRPr="002E6642" w:rsidRDefault="002E6642" w:rsidP="002E6642">
      <w:pPr>
        <w:spacing w:after="0" w:line="240" w:lineRule="auto"/>
        <w:jc w:val="both"/>
        <w:rPr>
          <w:rFonts w:ascii="Times New Roman" w:eastAsia="Times New Roman" w:hAnsi="Times New Roman" w:cs="Times New Roman"/>
          <w:kern w:val="0"/>
          <w:sz w:val="24"/>
          <w:szCs w:val="24"/>
          <w:lang w:val="es-ES" w:eastAsia="es-ES"/>
        </w:rPr>
      </w:pPr>
    </w:p>
    <w:p w:rsidR="00854BE5" w:rsidRPr="002E6642" w:rsidRDefault="00854BE5" w:rsidP="002E6642">
      <w:pPr>
        <w:spacing w:after="0" w:line="240" w:lineRule="auto"/>
        <w:jc w:val="both"/>
        <w:rPr>
          <w:rFonts w:ascii="Times New Roman" w:eastAsia="Times New Roman" w:hAnsi="Times New Roman" w:cs="Times New Roman"/>
          <w:kern w:val="0"/>
          <w:sz w:val="24"/>
          <w:szCs w:val="24"/>
          <w:lang w:val="es-ES" w:eastAsia="es-ES"/>
        </w:rPr>
      </w:pPr>
      <w:r w:rsidRPr="002E6642">
        <w:rPr>
          <w:rFonts w:ascii="Times New Roman" w:eastAsia="Times New Roman" w:hAnsi="Times New Roman" w:cs="Times New Roman"/>
          <w:color w:val="000000"/>
          <w:kern w:val="0"/>
          <w:sz w:val="24"/>
          <w:szCs w:val="24"/>
          <w:lang w:val="es-ES" w:eastAsia="es-ES"/>
        </w:rPr>
        <w:t>Asimismo, los accesorios enunciados precedentemente pueden considerarse en forma independiente de la obligación principal adeudada, tomándose en cuenta el total adeudado.</w:t>
      </w:r>
    </w:p>
    <w:p w:rsidR="00854BE5" w:rsidRDefault="00854BE5" w:rsidP="002E6642">
      <w:pPr>
        <w:spacing w:after="0" w:line="240" w:lineRule="auto"/>
        <w:jc w:val="both"/>
        <w:rPr>
          <w:rFonts w:ascii="Times New Roman" w:eastAsia="Times New Roman" w:hAnsi="Times New Roman" w:cs="Times New Roman"/>
          <w:color w:val="000000"/>
          <w:kern w:val="0"/>
          <w:sz w:val="24"/>
          <w:szCs w:val="24"/>
          <w:lang w:val="es-ES" w:eastAsia="es-ES"/>
        </w:rPr>
      </w:pPr>
      <w:r w:rsidRPr="002E6642">
        <w:rPr>
          <w:rFonts w:ascii="Times New Roman" w:eastAsia="Times New Roman" w:hAnsi="Times New Roman" w:cs="Times New Roman"/>
          <w:color w:val="000000"/>
          <w:kern w:val="0"/>
          <w:sz w:val="24"/>
          <w:szCs w:val="24"/>
          <w:lang w:val="es-ES" w:eastAsia="es-ES"/>
        </w:rPr>
        <w:t>Para el supuesto de promoverse acción judicial, la Ley Tarifaria también fija los importes pertinentes, los cuales deben considerarse por la deuda total que registra cada contribuyente.</w:t>
      </w:r>
    </w:p>
    <w:p w:rsidR="002E6642" w:rsidRPr="002E6642" w:rsidRDefault="002E6642" w:rsidP="002E6642">
      <w:pPr>
        <w:spacing w:after="0" w:line="240" w:lineRule="auto"/>
        <w:jc w:val="both"/>
        <w:rPr>
          <w:rFonts w:ascii="Times New Roman" w:eastAsia="Times New Roman" w:hAnsi="Times New Roman" w:cs="Times New Roman"/>
          <w:kern w:val="0"/>
          <w:sz w:val="24"/>
          <w:szCs w:val="24"/>
          <w:lang w:val="es-ES" w:eastAsia="es-ES"/>
        </w:rPr>
      </w:pPr>
    </w:p>
    <w:p w:rsidR="00854BE5" w:rsidRDefault="00854BE5" w:rsidP="002E6642">
      <w:pPr>
        <w:spacing w:after="0" w:line="240" w:lineRule="auto"/>
        <w:jc w:val="both"/>
        <w:rPr>
          <w:rFonts w:ascii="Times New Roman" w:eastAsia="Times New Roman" w:hAnsi="Times New Roman" w:cs="Times New Roman"/>
          <w:color w:val="000000"/>
          <w:kern w:val="0"/>
          <w:sz w:val="24"/>
          <w:szCs w:val="24"/>
          <w:lang w:val="es-ES" w:eastAsia="es-ES"/>
        </w:rPr>
      </w:pPr>
      <w:r w:rsidRPr="002E6642">
        <w:rPr>
          <w:rFonts w:ascii="Times New Roman" w:eastAsia="Times New Roman" w:hAnsi="Times New Roman" w:cs="Times New Roman"/>
          <w:color w:val="000000"/>
          <w:kern w:val="0"/>
          <w:sz w:val="24"/>
          <w:szCs w:val="24"/>
          <w:lang w:val="es-ES" w:eastAsia="es-ES"/>
        </w:rPr>
        <w:t>En los casos de liquidaciones o reliquidaciones, provenientes de una determinación de oficio o de cualquier otra causa, que comprenden diversos períodos fiscales, se ha de considerar el importe correspondiente al total de la deuda determinada, liquidada o reliquidada con sus accesorios, cuando esta pueda tenerse determinada, a la fecha de quedar firme la determinación. La Administración Gubernamental de Ingresos Públicos -AGIP- debe remitir la documentación con las formalidades necesarias para la determinación del título ejecutivo. Asimismo, promoverá la implementación de un único título ejecutivo respecto de múltiples obligaciones de deudas previstas en el Artículo 530 del presente Código.</w:t>
      </w:r>
    </w:p>
    <w:p w:rsidR="002E6642" w:rsidRPr="002E6642" w:rsidRDefault="002E6642" w:rsidP="002E6642">
      <w:pPr>
        <w:spacing w:after="0" w:line="240" w:lineRule="auto"/>
        <w:jc w:val="both"/>
        <w:rPr>
          <w:rFonts w:ascii="Times New Roman" w:eastAsia="Times New Roman" w:hAnsi="Times New Roman" w:cs="Times New Roman"/>
          <w:kern w:val="0"/>
          <w:sz w:val="24"/>
          <w:szCs w:val="24"/>
          <w:lang w:val="es-ES" w:eastAsia="es-ES"/>
        </w:rPr>
      </w:pPr>
    </w:p>
    <w:p w:rsidR="00854BE5" w:rsidRPr="002E6642" w:rsidRDefault="00854BE5" w:rsidP="002E6642">
      <w:pPr>
        <w:spacing w:after="0" w:line="240" w:lineRule="auto"/>
        <w:jc w:val="both"/>
        <w:rPr>
          <w:rFonts w:ascii="Times New Roman" w:eastAsia="Times New Roman" w:hAnsi="Times New Roman" w:cs="Times New Roman"/>
          <w:kern w:val="0"/>
          <w:sz w:val="24"/>
          <w:szCs w:val="24"/>
          <w:lang w:val="es-ES" w:eastAsia="es-ES"/>
        </w:rPr>
      </w:pPr>
      <w:r w:rsidRPr="002E6642">
        <w:rPr>
          <w:rFonts w:ascii="Times New Roman" w:eastAsia="Times New Roman" w:hAnsi="Times New Roman" w:cs="Times New Roman"/>
          <w:color w:val="000000"/>
          <w:kern w:val="0"/>
          <w:sz w:val="24"/>
          <w:szCs w:val="24"/>
          <w:lang w:val="es-ES" w:eastAsia="es-ES"/>
        </w:rPr>
        <w:t>En los casos de ilícitos penales y de sanciones impuestas por la comisión de infracción a los deberes formales, no resultan de aplicación las limitaciones del presente artículo.</w:t>
      </w:r>
    </w:p>
    <w:p w:rsidR="00854BE5" w:rsidRPr="002E6642" w:rsidRDefault="00854BE5" w:rsidP="002E6642">
      <w:pPr>
        <w:spacing w:after="0" w:line="240" w:lineRule="auto"/>
        <w:jc w:val="both"/>
        <w:rPr>
          <w:rFonts w:ascii="Times New Roman" w:eastAsia="Times New Roman" w:hAnsi="Times New Roman" w:cs="Times New Roman"/>
          <w:kern w:val="0"/>
          <w:sz w:val="24"/>
          <w:szCs w:val="24"/>
          <w:lang w:val="es-ES" w:eastAsia="es-ES"/>
        </w:rPr>
      </w:pPr>
      <w:r w:rsidRPr="002E6642">
        <w:rPr>
          <w:rFonts w:ascii="Times New Roman" w:eastAsia="Times New Roman" w:hAnsi="Times New Roman" w:cs="Times New Roman"/>
          <w:color w:val="000000"/>
          <w:kern w:val="0"/>
          <w:sz w:val="24"/>
          <w:szCs w:val="24"/>
          <w:lang w:val="es-ES" w:eastAsia="es-ES"/>
        </w:rPr>
        <w:t>La cobranza de los montos que superen los mínimos establecidos en la Ley Tarifaria y a su vez no superen lo establecido en el Artículo 170 bis de dicha norma, deberá ser gestionada por la Administración Gubernamental de Ingresos Públicos, conforme como este organismo lo reglamente, por el período fiscal en curso previo a iniciar las gestiones de cobro judicial.</w:t>
      </w:r>
    </w:p>
    <w:p w:rsidR="00854BE5" w:rsidRDefault="00854BE5" w:rsidP="002E6642">
      <w:pPr>
        <w:spacing w:after="0" w:line="240" w:lineRule="auto"/>
        <w:jc w:val="both"/>
        <w:rPr>
          <w:rFonts w:ascii="Times New Roman" w:eastAsia="Times New Roman" w:hAnsi="Times New Roman" w:cs="Times New Roman"/>
          <w:color w:val="000000"/>
          <w:kern w:val="0"/>
          <w:sz w:val="24"/>
          <w:szCs w:val="24"/>
          <w:lang w:val="es-ES" w:eastAsia="es-ES"/>
        </w:rPr>
      </w:pPr>
      <w:r w:rsidRPr="002E6642">
        <w:rPr>
          <w:rFonts w:ascii="Times New Roman" w:eastAsia="Times New Roman" w:hAnsi="Times New Roman" w:cs="Times New Roman"/>
          <w:color w:val="000000"/>
          <w:kern w:val="0"/>
          <w:sz w:val="24"/>
          <w:szCs w:val="24"/>
          <w:lang w:val="es-ES" w:eastAsia="es-ES"/>
        </w:rPr>
        <w:t>Se exceptúa de lo establecido en el presente:</w:t>
      </w:r>
    </w:p>
    <w:p w:rsidR="002E6642" w:rsidRPr="002E6642" w:rsidRDefault="002E6642" w:rsidP="002E6642">
      <w:pPr>
        <w:spacing w:after="0" w:line="240" w:lineRule="auto"/>
        <w:jc w:val="both"/>
        <w:rPr>
          <w:rFonts w:ascii="Times New Roman" w:eastAsia="Times New Roman" w:hAnsi="Times New Roman" w:cs="Times New Roman"/>
          <w:kern w:val="0"/>
          <w:sz w:val="24"/>
          <w:szCs w:val="24"/>
          <w:lang w:val="es-ES" w:eastAsia="es-ES"/>
        </w:rPr>
      </w:pPr>
    </w:p>
    <w:p w:rsidR="00854BE5" w:rsidRPr="002E6642" w:rsidRDefault="00854BE5" w:rsidP="002E6642">
      <w:pPr>
        <w:spacing w:after="0" w:line="240" w:lineRule="auto"/>
        <w:jc w:val="both"/>
        <w:rPr>
          <w:rFonts w:ascii="Times New Roman" w:eastAsia="Times New Roman" w:hAnsi="Times New Roman" w:cs="Times New Roman"/>
          <w:kern w:val="0"/>
          <w:sz w:val="24"/>
          <w:szCs w:val="24"/>
          <w:lang w:val="es-ES" w:eastAsia="es-ES"/>
        </w:rPr>
      </w:pPr>
      <w:r w:rsidRPr="002E6642">
        <w:rPr>
          <w:rFonts w:ascii="Times New Roman" w:eastAsia="Times New Roman" w:hAnsi="Times New Roman" w:cs="Times New Roman"/>
          <w:b/>
          <w:bCs/>
          <w:color w:val="000000"/>
          <w:kern w:val="0"/>
          <w:sz w:val="24"/>
          <w:szCs w:val="24"/>
          <w:lang w:val="es-ES" w:eastAsia="es-ES"/>
        </w:rPr>
        <w:t>a. La inminente prescripción de la obligación, supuesto en el cual el pase a mandatarios judiciales sólo podrá efectuarse en el período comprendido entre los seis (6) y los tres (3) meses anteriores a la fecha de prescripción;</w:t>
      </w:r>
    </w:p>
    <w:p w:rsidR="00854BE5" w:rsidRPr="002E6642" w:rsidRDefault="00854BE5" w:rsidP="002E6642">
      <w:pPr>
        <w:spacing w:after="0" w:line="240" w:lineRule="auto"/>
        <w:jc w:val="both"/>
        <w:rPr>
          <w:rFonts w:ascii="Times New Roman" w:eastAsia="Times New Roman" w:hAnsi="Times New Roman" w:cs="Times New Roman"/>
          <w:kern w:val="0"/>
          <w:sz w:val="24"/>
          <w:szCs w:val="24"/>
          <w:lang w:val="es-ES" w:eastAsia="es-ES"/>
        </w:rPr>
      </w:pPr>
      <w:r w:rsidRPr="002E6642">
        <w:rPr>
          <w:rFonts w:ascii="Times New Roman" w:eastAsia="Times New Roman" w:hAnsi="Times New Roman" w:cs="Times New Roman"/>
          <w:color w:val="000000"/>
          <w:kern w:val="0"/>
          <w:sz w:val="24"/>
          <w:szCs w:val="24"/>
          <w:lang w:val="es-ES" w:eastAsia="es-ES"/>
        </w:rPr>
        <w:t>b. Los agentes de retención y/o recaudación;</w:t>
      </w:r>
    </w:p>
    <w:p w:rsidR="00854BE5" w:rsidRPr="002E6642" w:rsidRDefault="00854BE5" w:rsidP="002E6642">
      <w:pPr>
        <w:spacing w:after="0" w:line="240" w:lineRule="auto"/>
        <w:jc w:val="both"/>
        <w:rPr>
          <w:rFonts w:ascii="Times New Roman" w:eastAsia="Times New Roman" w:hAnsi="Times New Roman" w:cs="Times New Roman"/>
          <w:kern w:val="0"/>
          <w:sz w:val="24"/>
          <w:szCs w:val="24"/>
          <w:lang w:val="es-ES" w:eastAsia="es-ES"/>
        </w:rPr>
      </w:pPr>
      <w:r w:rsidRPr="002E6642">
        <w:rPr>
          <w:rFonts w:ascii="Times New Roman" w:eastAsia="Times New Roman" w:hAnsi="Times New Roman" w:cs="Times New Roman"/>
          <w:color w:val="000000"/>
          <w:kern w:val="0"/>
          <w:sz w:val="24"/>
          <w:szCs w:val="24"/>
          <w:lang w:val="es-ES" w:eastAsia="es-ES"/>
        </w:rPr>
        <w:t>c. Las obligaciones de los contribuyentes incluidos en el sistema de verificación continua para grandes contribuyentes;</w:t>
      </w:r>
    </w:p>
    <w:p w:rsidR="00854BE5" w:rsidRPr="002E6642" w:rsidRDefault="00854BE5" w:rsidP="002E6642">
      <w:pPr>
        <w:spacing w:after="0" w:line="240" w:lineRule="auto"/>
        <w:jc w:val="both"/>
        <w:rPr>
          <w:rFonts w:ascii="Times New Roman" w:eastAsia="Times New Roman" w:hAnsi="Times New Roman" w:cs="Times New Roman"/>
          <w:kern w:val="0"/>
          <w:sz w:val="24"/>
          <w:szCs w:val="24"/>
          <w:lang w:val="es-ES" w:eastAsia="es-ES"/>
        </w:rPr>
      </w:pPr>
      <w:r w:rsidRPr="002E6642">
        <w:rPr>
          <w:rFonts w:ascii="Times New Roman" w:eastAsia="Times New Roman" w:hAnsi="Times New Roman" w:cs="Times New Roman"/>
          <w:color w:val="000000"/>
          <w:kern w:val="0"/>
          <w:sz w:val="24"/>
          <w:szCs w:val="24"/>
          <w:lang w:val="es-ES" w:eastAsia="es-ES"/>
        </w:rPr>
        <w:t>d. Aquellos otros parámetros que defina la Administración Gubernamental de Ingresos Públicos en base a la protección del erario público y evitar maniobras evasivas o elusivas de los tributos.</w:t>
      </w:r>
    </w:p>
    <w:p w:rsidR="002E6642" w:rsidRDefault="002E6642" w:rsidP="002E6642">
      <w:pPr>
        <w:spacing w:after="0" w:line="240" w:lineRule="auto"/>
        <w:jc w:val="both"/>
        <w:rPr>
          <w:rFonts w:ascii="Times New Roman" w:eastAsia="Times New Roman" w:hAnsi="Times New Roman" w:cs="Times New Roman"/>
          <w:color w:val="000000"/>
          <w:kern w:val="0"/>
          <w:sz w:val="24"/>
          <w:szCs w:val="24"/>
          <w:lang w:val="es-ES" w:eastAsia="es-ES"/>
        </w:rPr>
      </w:pPr>
    </w:p>
    <w:p w:rsidR="00854BE5" w:rsidRDefault="00854BE5" w:rsidP="002E6642">
      <w:pPr>
        <w:spacing w:after="0" w:line="240" w:lineRule="auto"/>
        <w:jc w:val="both"/>
        <w:rPr>
          <w:rFonts w:ascii="Times New Roman" w:eastAsia="Times New Roman" w:hAnsi="Times New Roman" w:cs="Times New Roman"/>
          <w:color w:val="000000"/>
          <w:kern w:val="0"/>
          <w:sz w:val="24"/>
          <w:szCs w:val="24"/>
          <w:lang w:val="es-ES" w:eastAsia="es-ES"/>
        </w:rPr>
      </w:pPr>
      <w:r w:rsidRPr="002E6642">
        <w:rPr>
          <w:rFonts w:ascii="Times New Roman" w:eastAsia="Times New Roman" w:hAnsi="Times New Roman" w:cs="Times New Roman"/>
          <w:color w:val="000000"/>
          <w:kern w:val="0"/>
          <w:sz w:val="24"/>
          <w:szCs w:val="24"/>
          <w:lang w:val="es-ES" w:eastAsia="es-ES"/>
        </w:rPr>
        <w:t xml:space="preserve">En todos los casos, la Administración Gubernamental de Ingresos Públicos informará al contribuyente respecto de las deudas fiscales en mora, así como de la existencia de planes de regularización de pagos y sus respectivos plazos de vigencia. </w:t>
      </w:r>
      <w:r w:rsidRPr="002E6642">
        <w:rPr>
          <w:rFonts w:ascii="Times New Roman" w:eastAsia="Times New Roman" w:hAnsi="Times New Roman" w:cs="Times New Roman"/>
          <w:b/>
          <w:bCs/>
          <w:color w:val="000000"/>
          <w:kern w:val="0"/>
          <w:sz w:val="24"/>
          <w:szCs w:val="24"/>
          <w:lang w:val="es-ES" w:eastAsia="es-ES"/>
        </w:rPr>
        <w:t>Dichas comunicaciones deberán ser fehacientes, las mismas deberán efectuarse en forma periódica y serán notificadas al domicilio electrónico constituido por el contribuyente.</w:t>
      </w:r>
      <w:r w:rsidRPr="002E6642">
        <w:rPr>
          <w:rFonts w:ascii="Times New Roman" w:eastAsia="Times New Roman" w:hAnsi="Times New Roman" w:cs="Times New Roman"/>
          <w:color w:val="000000"/>
          <w:kern w:val="0"/>
          <w:sz w:val="24"/>
          <w:szCs w:val="24"/>
          <w:lang w:val="es-ES" w:eastAsia="es-ES"/>
        </w:rPr>
        <w:t>”  </w:t>
      </w:r>
    </w:p>
    <w:p w:rsidR="002E6642" w:rsidRPr="002E6642" w:rsidRDefault="002E6642" w:rsidP="002E6642">
      <w:pPr>
        <w:spacing w:after="0" w:line="240" w:lineRule="auto"/>
        <w:jc w:val="both"/>
        <w:rPr>
          <w:rFonts w:ascii="Times New Roman" w:eastAsia="Times New Roman" w:hAnsi="Times New Roman" w:cs="Times New Roman"/>
          <w:kern w:val="0"/>
          <w:sz w:val="24"/>
          <w:szCs w:val="24"/>
          <w:lang w:val="es-ES" w:eastAsia="es-ES"/>
        </w:rPr>
      </w:pPr>
    </w:p>
    <w:p w:rsidR="00854BE5" w:rsidRPr="002E6642" w:rsidRDefault="00854BE5" w:rsidP="002E6642">
      <w:pPr>
        <w:spacing w:after="0" w:line="240" w:lineRule="auto"/>
        <w:jc w:val="both"/>
        <w:rPr>
          <w:rFonts w:ascii="Times New Roman" w:eastAsia="Times New Roman" w:hAnsi="Times New Roman" w:cs="Times New Roman"/>
          <w:kern w:val="0"/>
          <w:sz w:val="24"/>
          <w:szCs w:val="24"/>
          <w:lang w:val="es-ES" w:eastAsia="es-ES"/>
        </w:rPr>
      </w:pPr>
      <w:r w:rsidRPr="002E6642">
        <w:rPr>
          <w:rFonts w:ascii="Times New Roman" w:eastAsia="Times New Roman" w:hAnsi="Times New Roman" w:cs="Times New Roman"/>
          <w:color w:val="000000"/>
          <w:kern w:val="0"/>
          <w:sz w:val="24"/>
          <w:szCs w:val="24"/>
          <w:lang w:val="es-ES" w:eastAsia="es-ES"/>
        </w:rPr>
        <w:t>En línea con lo expuesto con anterioridad, se advierte que uno de los principales problemas radica en la falta de comunicación periódica de las deudas en mora por parte de la AGIP, lo que genera que muchos contribuyentes desconozcan su situación hasta el momento de sufrir alguna de las medidas cautelares previstas. La modificación propuesta incorpora la obligación de notificar en forma periódica al domicilio electrónico declarado, garantizando información oportuna, transparencia y respeto al debido proceso.</w:t>
      </w:r>
    </w:p>
    <w:p w:rsidR="002E6642" w:rsidRDefault="002E6642" w:rsidP="002E6642">
      <w:pPr>
        <w:spacing w:after="0" w:line="240" w:lineRule="auto"/>
        <w:jc w:val="both"/>
        <w:rPr>
          <w:rFonts w:ascii="Times New Roman" w:eastAsia="Times New Roman" w:hAnsi="Times New Roman" w:cs="Times New Roman"/>
          <w:color w:val="000000"/>
          <w:kern w:val="0"/>
          <w:sz w:val="24"/>
          <w:szCs w:val="24"/>
          <w:lang w:val="es-ES" w:eastAsia="es-ES"/>
        </w:rPr>
      </w:pPr>
    </w:p>
    <w:p w:rsidR="00854BE5" w:rsidRPr="002E6642" w:rsidRDefault="00854BE5" w:rsidP="002E6642">
      <w:pPr>
        <w:spacing w:after="0" w:line="240" w:lineRule="auto"/>
        <w:jc w:val="both"/>
        <w:rPr>
          <w:rFonts w:ascii="Times New Roman" w:eastAsia="Times New Roman" w:hAnsi="Times New Roman" w:cs="Times New Roman"/>
          <w:kern w:val="0"/>
          <w:sz w:val="24"/>
          <w:szCs w:val="24"/>
          <w:lang w:val="es-ES" w:eastAsia="es-ES"/>
        </w:rPr>
      </w:pPr>
      <w:r w:rsidRPr="002E6642">
        <w:rPr>
          <w:rFonts w:ascii="Times New Roman" w:eastAsia="Times New Roman" w:hAnsi="Times New Roman" w:cs="Times New Roman"/>
          <w:color w:val="000000"/>
          <w:kern w:val="0"/>
          <w:sz w:val="24"/>
          <w:szCs w:val="24"/>
          <w:lang w:val="es-ES" w:eastAsia="es-ES"/>
        </w:rPr>
        <w:t>Que, por tal motivo, solicitamos sea incorporada la presente observación en los términos y con los efectos previstos en el artículo 169 y demás artículos concordantes del Reglamento de la Legislatura de la Ciudad Autónoma de Buenos Aires. </w:t>
      </w:r>
    </w:p>
    <w:p w:rsidR="00854BE5" w:rsidRPr="002E6642" w:rsidRDefault="00854BE5" w:rsidP="002E6642">
      <w:pPr>
        <w:spacing w:after="0" w:line="240" w:lineRule="auto"/>
        <w:jc w:val="both"/>
        <w:rPr>
          <w:rFonts w:ascii="Times New Roman" w:eastAsia="Times New Roman" w:hAnsi="Times New Roman" w:cs="Times New Roman"/>
          <w:kern w:val="0"/>
          <w:sz w:val="24"/>
          <w:szCs w:val="24"/>
          <w:lang w:val="es-ES" w:eastAsia="es-ES"/>
        </w:rPr>
      </w:pPr>
    </w:p>
    <w:p w:rsidR="00CE40A4" w:rsidRPr="002E6642" w:rsidRDefault="00CE40A4" w:rsidP="002E6642">
      <w:pPr>
        <w:spacing w:after="0" w:line="240" w:lineRule="auto"/>
        <w:jc w:val="both"/>
        <w:rPr>
          <w:rFonts w:ascii="Times New Roman" w:eastAsia="Times New Roman" w:hAnsi="Times New Roman" w:cs="Times New Roman"/>
          <w:color w:val="000000"/>
          <w:kern w:val="0"/>
          <w:sz w:val="24"/>
          <w:szCs w:val="24"/>
          <w:lang w:val="es-ES" w:eastAsia="es-ES"/>
        </w:rPr>
      </w:pPr>
    </w:p>
    <w:p w:rsidR="00854BE5" w:rsidRPr="002E6642" w:rsidRDefault="00194667" w:rsidP="002E6642">
      <w:pPr>
        <w:spacing w:after="0" w:line="240" w:lineRule="auto"/>
        <w:jc w:val="both"/>
        <w:rPr>
          <w:rFonts w:ascii="Times New Roman" w:eastAsia="Times New Roman" w:hAnsi="Times New Roman" w:cs="Times New Roman"/>
          <w:kern w:val="0"/>
          <w:sz w:val="24"/>
          <w:szCs w:val="24"/>
          <w:lang w:val="es-ES" w:eastAsia="es-ES"/>
        </w:rPr>
      </w:pPr>
      <w:r w:rsidRPr="002E6642">
        <w:rPr>
          <w:rFonts w:ascii="Times New Roman" w:eastAsia="Times New Roman" w:hAnsi="Times New Roman" w:cs="Times New Roman"/>
          <w:color w:val="000000"/>
          <w:kern w:val="0"/>
          <w:sz w:val="24"/>
          <w:szCs w:val="24"/>
          <w:lang w:val="es-ES" w:eastAsia="es-ES"/>
        </w:rPr>
        <w:t>KIENAST, Marina</w:t>
      </w:r>
      <w:r w:rsidR="002E6642">
        <w:rPr>
          <w:rFonts w:ascii="Times New Roman" w:eastAsia="Times New Roman" w:hAnsi="Times New Roman" w:cs="Times New Roman"/>
          <w:color w:val="000000"/>
          <w:kern w:val="0"/>
          <w:sz w:val="24"/>
          <w:szCs w:val="24"/>
          <w:lang w:val="es-ES" w:eastAsia="es-ES"/>
        </w:rPr>
        <w:t xml:space="preserve">; </w:t>
      </w:r>
      <w:r w:rsidR="00854BE5" w:rsidRPr="002E6642">
        <w:rPr>
          <w:rFonts w:ascii="Times New Roman" w:eastAsia="Times New Roman" w:hAnsi="Times New Roman" w:cs="Times New Roman"/>
          <w:color w:val="000000"/>
          <w:kern w:val="0"/>
          <w:sz w:val="24"/>
          <w:szCs w:val="24"/>
          <w:lang w:val="es-ES" w:eastAsia="es-ES"/>
        </w:rPr>
        <w:t>SAIFERT, Leonardo</w:t>
      </w:r>
      <w:r w:rsidR="002E6642">
        <w:rPr>
          <w:rFonts w:ascii="Times New Roman" w:eastAsia="Times New Roman" w:hAnsi="Times New Roman" w:cs="Times New Roman"/>
          <w:color w:val="000000"/>
          <w:kern w:val="0"/>
          <w:sz w:val="24"/>
          <w:szCs w:val="24"/>
          <w:lang w:val="es-ES" w:eastAsia="es-ES"/>
        </w:rPr>
        <w:t xml:space="preserve">; </w:t>
      </w:r>
      <w:r w:rsidR="00854BE5" w:rsidRPr="002E6642">
        <w:rPr>
          <w:rFonts w:ascii="Times New Roman" w:eastAsia="Times New Roman" w:hAnsi="Times New Roman" w:cs="Times New Roman"/>
          <w:color w:val="000000"/>
          <w:kern w:val="0"/>
          <w:sz w:val="24"/>
          <w:szCs w:val="24"/>
          <w:lang w:val="es-ES" w:eastAsia="es-ES"/>
        </w:rPr>
        <w:t>MONTENEGRO, Lucia</w:t>
      </w:r>
      <w:r w:rsidR="002E6642">
        <w:rPr>
          <w:rFonts w:ascii="Times New Roman" w:eastAsia="Times New Roman" w:hAnsi="Times New Roman" w:cs="Times New Roman"/>
          <w:color w:val="000000"/>
          <w:kern w:val="0"/>
          <w:sz w:val="24"/>
          <w:szCs w:val="24"/>
          <w:lang w:val="es-ES" w:eastAsia="es-ES"/>
        </w:rPr>
        <w:t>.</w:t>
      </w:r>
    </w:p>
    <w:p w:rsidR="00AF6364" w:rsidRPr="002E6642" w:rsidRDefault="00AF6364" w:rsidP="002E6642">
      <w:pPr>
        <w:spacing w:after="0" w:line="240" w:lineRule="auto"/>
        <w:rPr>
          <w:rFonts w:ascii="Times New Roman" w:hAnsi="Times New Roman" w:cs="Times New Roman"/>
          <w:sz w:val="24"/>
          <w:szCs w:val="24"/>
        </w:rPr>
      </w:pPr>
    </w:p>
    <w:sectPr w:rsidR="00AF6364" w:rsidRPr="002E6642" w:rsidSect="00C60B5C">
      <w:pgSz w:w="12240" w:h="20160" w:code="5"/>
      <w:pgMar w:top="1418" w:right="1701" w:bottom="1418" w:left="1701" w:header="709" w:footer="851"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533FA" w:rsidRDefault="004533FA" w:rsidP="00AF6364">
      <w:pPr>
        <w:spacing w:after="0" w:line="240" w:lineRule="auto"/>
      </w:pPr>
      <w:r>
        <w:separator/>
      </w:r>
    </w:p>
  </w:endnote>
  <w:endnote w:type="continuationSeparator" w:id="0">
    <w:p w:rsidR="004533FA" w:rsidRDefault="004533FA" w:rsidP="00AF636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ptos">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533FA" w:rsidRDefault="004533FA" w:rsidP="00AF6364">
      <w:pPr>
        <w:spacing w:after="0" w:line="240" w:lineRule="auto"/>
      </w:pPr>
      <w:r>
        <w:separator/>
      </w:r>
    </w:p>
  </w:footnote>
  <w:footnote w:type="continuationSeparator" w:id="0">
    <w:p w:rsidR="004533FA" w:rsidRDefault="004533FA" w:rsidP="00AF6364">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attachedTemplate r:id="rId1"/>
  <w:defaultTabStop w:val="708"/>
  <w:hyphenationZone w:val="425"/>
  <w:characterSpacingControl w:val="doNotCompress"/>
  <w:hdrShapeDefaults>
    <o:shapedefaults v:ext="edit" spidmax="8194"/>
  </w:hdrShapeDefaults>
  <w:footnotePr>
    <w:footnote w:id="-1"/>
    <w:footnote w:id="0"/>
  </w:footnotePr>
  <w:endnotePr>
    <w:endnote w:id="-1"/>
    <w:endnote w:id="0"/>
  </w:endnotePr>
  <w:compat/>
  <w:rsids>
    <w:rsidRoot w:val="001B631A"/>
    <w:rsid w:val="00194667"/>
    <w:rsid w:val="001B631A"/>
    <w:rsid w:val="002B0876"/>
    <w:rsid w:val="002E6642"/>
    <w:rsid w:val="00322B5E"/>
    <w:rsid w:val="003D71B3"/>
    <w:rsid w:val="00425C91"/>
    <w:rsid w:val="004533FA"/>
    <w:rsid w:val="004A74D5"/>
    <w:rsid w:val="004F14B4"/>
    <w:rsid w:val="00565C04"/>
    <w:rsid w:val="00597CD1"/>
    <w:rsid w:val="00646C3C"/>
    <w:rsid w:val="006D1BAF"/>
    <w:rsid w:val="006E4861"/>
    <w:rsid w:val="0072782F"/>
    <w:rsid w:val="00746F04"/>
    <w:rsid w:val="00785CAD"/>
    <w:rsid w:val="00810880"/>
    <w:rsid w:val="00813615"/>
    <w:rsid w:val="0081386C"/>
    <w:rsid w:val="00854BE5"/>
    <w:rsid w:val="00887FEC"/>
    <w:rsid w:val="008D7089"/>
    <w:rsid w:val="0099664C"/>
    <w:rsid w:val="009A4135"/>
    <w:rsid w:val="00AF3B91"/>
    <w:rsid w:val="00AF6364"/>
    <w:rsid w:val="00C60B5C"/>
    <w:rsid w:val="00CA2927"/>
    <w:rsid w:val="00CE40A4"/>
    <w:rsid w:val="00DA6887"/>
    <w:rsid w:val="00DE1B2D"/>
    <w:rsid w:val="00EF65D8"/>
    <w:rsid w:val="00F47AFC"/>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s-A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74D5"/>
  </w:style>
  <w:style w:type="paragraph" w:styleId="Ttulo1">
    <w:name w:val="heading 1"/>
    <w:basedOn w:val="Normal"/>
    <w:next w:val="Normal"/>
    <w:link w:val="Ttulo1Car"/>
    <w:uiPriority w:val="9"/>
    <w:qFormat/>
    <w:rsid w:val="00AF636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AF636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AF6364"/>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AF6364"/>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AF6364"/>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AF6364"/>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AF6364"/>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AF6364"/>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AF6364"/>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F6364"/>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AF6364"/>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AF6364"/>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AF6364"/>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AF6364"/>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AF6364"/>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AF6364"/>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AF6364"/>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AF6364"/>
    <w:rPr>
      <w:rFonts w:eastAsiaTheme="majorEastAsia" w:cstheme="majorBidi"/>
      <w:color w:val="272727" w:themeColor="text1" w:themeTint="D8"/>
    </w:rPr>
  </w:style>
  <w:style w:type="paragraph" w:styleId="Ttulo">
    <w:name w:val="Title"/>
    <w:basedOn w:val="Normal"/>
    <w:next w:val="Normal"/>
    <w:link w:val="TtuloCar"/>
    <w:uiPriority w:val="10"/>
    <w:qFormat/>
    <w:rsid w:val="00AF63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F6364"/>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AF6364"/>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AF6364"/>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AF6364"/>
    <w:pPr>
      <w:spacing w:before="160"/>
      <w:jc w:val="center"/>
    </w:pPr>
    <w:rPr>
      <w:i/>
      <w:iCs/>
      <w:color w:val="404040" w:themeColor="text1" w:themeTint="BF"/>
    </w:rPr>
  </w:style>
  <w:style w:type="character" w:customStyle="1" w:styleId="CitaCar">
    <w:name w:val="Cita Car"/>
    <w:basedOn w:val="Fuentedeprrafopredeter"/>
    <w:link w:val="Cita"/>
    <w:uiPriority w:val="29"/>
    <w:rsid w:val="00AF6364"/>
    <w:rPr>
      <w:i/>
      <w:iCs/>
      <w:color w:val="404040" w:themeColor="text1" w:themeTint="BF"/>
    </w:rPr>
  </w:style>
  <w:style w:type="paragraph" w:styleId="Prrafodelista">
    <w:name w:val="List Paragraph"/>
    <w:basedOn w:val="Normal"/>
    <w:uiPriority w:val="34"/>
    <w:qFormat/>
    <w:rsid w:val="00AF6364"/>
    <w:pPr>
      <w:ind w:left="720"/>
      <w:contextualSpacing/>
    </w:pPr>
  </w:style>
  <w:style w:type="character" w:styleId="nfasisintenso">
    <w:name w:val="Intense Emphasis"/>
    <w:basedOn w:val="Fuentedeprrafopredeter"/>
    <w:uiPriority w:val="21"/>
    <w:qFormat/>
    <w:rsid w:val="00AF6364"/>
    <w:rPr>
      <w:i/>
      <w:iCs/>
      <w:color w:val="0F4761" w:themeColor="accent1" w:themeShade="BF"/>
    </w:rPr>
  </w:style>
  <w:style w:type="paragraph" w:styleId="Citadestacada">
    <w:name w:val="Intense Quote"/>
    <w:basedOn w:val="Normal"/>
    <w:next w:val="Normal"/>
    <w:link w:val="CitadestacadaCar"/>
    <w:uiPriority w:val="30"/>
    <w:qFormat/>
    <w:rsid w:val="00AF63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AF6364"/>
    <w:rPr>
      <w:i/>
      <w:iCs/>
      <w:color w:val="0F4761" w:themeColor="accent1" w:themeShade="BF"/>
    </w:rPr>
  </w:style>
  <w:style w:type="character" w:styleId="Referenciaintensa">
    <w:name w:val="Intense Reference"/>
    <w:basedOn w:val="Fuentedeprrafopredeter"/>
    <w:uiPriority w:val="32"/>
    <w:qFormat/>
    <w:rsid w:val="00AF6364"/>
    <w:rPr>
      <w:b/>
      <w:bCs/>
      <w:smallCaps/>
      <w:color w:val="0F4761" w:themeColor="accent1" w:themeShade="BF"/>
      <w:spacing w:val="5"/>
    </w:rPr>
  </w:style>
  <w:style w:type="paragraph" w:styleId="Encabezado">
    <w:name w:val="header"/>
    <w:basedOn w:val="Normal"/>
    <w:link w:val="EncabezadoCar"/>
    <w:uiPriority w:val="99"/>
    <w:unhideWhenUsed/>
    <w:rsid w:val="00AF6364"/>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AF6364"/>
  </w:style>
  <w:style w:type="paragraph" w:styleId="Piedepgina">
    <w:name w:val="footer"/>
    <w:basedOn w:val="Normal"/>
    <w:link w:val="PiedepginaCar"/>
    <w:unhideWhenUsed/>
    <w:rsid w:val="00AF6364"/>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AF6364"/>
  </w:style>
  <w:style w:type="character" w:styleId="Nmerodepgina">
    <w:name w:val="page number"/>
    <w:basedOn w:val="Fuentedeprrafopredeter"/>
    <w:rsid w:val="009A4135"/>
  </w:style>
  <w:style w:type="paragraph" w:styleId="NormalWeb">
    <w:name w:val="Normal (Web)"/>
    <w:basedOn w:val="Normal"/>
    <w:uiPriority w:val="99"/>
    <w:semiHidden/>
    <w:unhideWhenUsed/>
    <w:rsid w:val="00854BE5"/>
    <w:pPr>
      <w:spacing w:before="100" w:beforeAutospacing="1" w:after="100" w:afterAutospacing="1" w:line="240" w:lineRule="auto"/>
    </w:pPr>
    <w:rPr>
      <w:rFonts w:ascii="Times New Roman" w:eastAsia="Times New Roman" w:hAnsi="Times New Roman" w:cs="Times New Roman"/>
      <w:kern w:val="0"/>
      <w:sz w:val="24"/>
      <w:szCs w:val="24"/>
      <w:lang w:val="es-ES" w:eastAsia="es-ES"/>
    </w:rPr>
  </w:style>
  <w:style w:type="character" w:customStyle="1" w:styleId="apple-tab-span">
    <w:name w:val="apple-tab-span"/>
    <w:basedOn w:val="Fuentedeprrafopredeter"/>
    <w:rsid w:val="00854BE5"/>
  </w:style>
  <w:style w:type="paragraph" w:styleId="Textodeglobo">
    <w:name w:val="Balloon Text"/>
    <w:basedOn w:val="Normal"/>
    <w:link w:val="TextodegloboCar"/>
    <w:uiPriority w:val="99"/>
    <w:semiHidden/>
    <w:unhideWhenUsed/>
    <w:rsid w:val="00854BE5"/>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854BE5"/>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377052073">
      <w:bodyDiv w:val="1"/>
      <w:marLeft w:val="0"/>
      <w:marRight w:val="0"/>
      <w:marTop w:val="0"/>
      <w:marBottom w:val="0"/>
      <w:divBdr>
        <w:top w:val="none" w:sz="0" w:space="0" w:color="auto"/>
        <w:left w:val="none" w:sz="0" w:space="0" w:color="auto"/>
        <w:bottom w:val="none" w:sz="0" w:space="0" w:color="auto"/>
        <w:right w:val="none" w:sz="0" w:space="0" w:color="auto"/>
      </w:divBdr>
    </w:div>
    <w:div w:id="7798375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erios\Desktop\Legislar2024.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Legislar2024.dotx</Template>
  <TotalTime>5</TotalTime>
  <Pages>3</Pages>
  <Words>1697</Words>
  <Characters>9334</Characters>
  <Application>Microsoft Office Word</Application>
  <DocSecurity>0</DocSecurity>
  <Lines>77</Lines>
  <Paragraphs>22</Paragraphs>
  <ScaleCrop>false</ScaleCrop>
  <HeadingPairs>
    <vt:vector size="2" baseType="variant">
      <vt:variant>
        <vt:lpstr>Título</vt:lpstr>
      </vt:variant>
      <vt:variant>
        <vt:i4>1</vt:i4>
      </vt:variant>
    </vt:vector>
  </HeadingPairs>
  <TitlesOfParts>
    <vt:vector size="1" baseType="lpstr">
      <vt:lpstr/>
    </vt:vector>
  </TitlesOfParts>
  <Company>HP Inc.</Company>
  <LinksUpToDate>false</LinksUpToDate>
  <CharactersWithSpaces>11009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Sergio Javier Rios</dc:creator>
  <cp:lastModifiedBy>luantonelli</cp:lastModifiedBy>
  <cp:revision>3</cp:revision>
  <cp:lastPrinted>2025-09-08T16:11:00Z</cp:lastPrinted>
  <dcterms:created xsi:type="dcterms:W3CDTF">2025-09-08T17:00:00Z</dcterms:created>
  <dcterms:modified xsi:type="dcterms:W3CDTF">2025-09-08T17:04:00Z</dcterms:modified>
</cp:coreProperties>
</file>