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34417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Legislatura de la Ciudad Autónoma de Buenos Aires</w:t>
      </w: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34417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Visto:</w:t>
      </w: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34417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Que el expediente  </w:t>
      </w:r>
      <w:r w:rsidR="00175001">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 781-D-2024 de autoría de la diputada Victoria Montenegro y agregado 47- D-2025 de autoría de la diputada Manuela </w:t>
      </w:r>
      <w:proofErr w:type="spellStart"/>
      <w:r>
        <w:rPr>
          <w:rFonts w:ascii="Times New Roman" w:eastAsia="Times New Roman" w:hAnsi="Times New Roman" w:cs="Times New Roman"/>
          <w:color w:val="000000"/>
          <w:sz w:val="24"/>
          <w:szCs w:val="24"/>
        </w:rPr>
        <w:t>Thourte</w:t>
      </w:r>
      <w:proofErr w:type="spellEnd"/>
      <w:r>
        <w:rPr>
          <w:rFonts w:ascii="Times New Roman" w:eastAsia="Times New Roman" w:hAnsi="Times New Roman" w:cs="Times New Roman"/>
          <w:color w:val="000000"/>
          <w:sz w:val="24"/>
          <w:szCs w:val="24"/>
        </w:rPr>
        <w:t xml:space="preserve"> solicita modificaciones a la Ley 4.572 de bebederos públicos y;</w:t>
      </w: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sz w:val="24"/>
          <w:szCs w:val="24"/>
        </w:rPr>
      </w:pPr>
    </w:p>
    <w:p w:rsidR="009C2C6A" w:rsidRDefault="00344171">
      <w:pPr>
        <w:pStyle w:val="norm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w:t>
      </w:r>
    </w:p>
    <w:p w:rsidR="009C2C6A" w:rsidRDefault="009C2C6A">
      <w:pPr>
        <w:pStyle w:val="normal0"/>
        <w:pBdr>
          <w:top w:val="nil"/>
          <w:left w:val="nil"/>
          <w:bottom w:val="nil"/>
          <w:right w:val="nil"/>
          <w:between w:val="nil"/>
        </w:pBdr>
        <w:spacing w:after="0" w:line="240" w:lineRule="auto"/>
        <w:rPr>
          <w:rFonts w:ascii="Times New Roman" w:eastAsia="Times New Roman" w:hAnsi="Times New Roman" w:cs="Times New Roman"/>
          <w:sz w:val="24"/>
          <w:szCs w:val="24"/>
        </w:rPr>
      </w:pPr>
    </w:p>
    <w:p w:rsidR="009C2C6A" w:rsidRDefault="00344171">
      <w:pPr>
        <w:pStyle w:val="normal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Que el Poder Ejecutivo tiene, según la Ley 4.572 del año 2013, la obligación de proveer de bebederos públicos a todos los parques, plazas y espacios públicos. Esta ley se crea bajo los fundamentos de la imperiosa necesidad del consumo de agua por parte de la ciudadanía.</w:t>
      </w:r>
    </w:p>
    <w:p w:rsidR="009C2C6A" w:rsidRDefault="009C2C6A">
      <w:pPr>
        <w:pStyle w:val="normal0"/>
        <w:rPr>
          <w:rFonts w:ascii="Times New Roman" w:eastAsia="Times New Roman" w:hAnsi="Times New Roman" w:cs="Times New Roman"/>
          <w:sz w:val="24"/>
          <w:szCs w:val="24"/>
        </w:rPr>
      </w:pPr>
    </w:p>
    <w:p w:rsidR="009C2C6A" w:rsidRDefault="00344171">
      <w:pPr>
        <w:pStyle w:val="normal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Que es manifiesto que en los últimos años no solo nuestro país, sino el resto del mundo, ha  sufrido notables modificaciones climáticas que provocan altas temperaturas en fechas inclusive distantes a la primavera y el verano. Queremos volver sobre este derecho, reconociendo el acceso al agua potable como un derecho humano de carácter esencial para poder garantizar el derecho a la vida.</w:t>
      </w:r>
    </w:p>
    <w:p w:rsidR="009C2C6A" w:rsidRDefault="009C2C6A">
      <w:pPr>
        <w:pStyle w:val="normal0"/>
        <w:rPr>
          <w:rFonts w:ascii="Times New Roman" w:eastAsia="Times New Roman" w:hAnsi="Times New Roman" w:cs="Times New Roman"/>
          <w:sz w:val="24"/>
          <w:szCs w:val="24"/>
        </w:rPr>
      </w:pPr>
    </w:p>
    <w:p w:rsidR="009C2C6A" w:rsidRDefault="00344171">
      <w:pPr>
        <w:pStyle w:val="normal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Que, por otra parte, desde el punto de vista alimentario y nutricional, fomentar el consumo de agua como bebida primordial implica estimular hábitos saludables y disminuir y/o evitar el consumo de bebidas azucaradas como aguas, gaseosas y jugos. El aumento del consumo de estas bebidas implica un riesgo potencial para la salud, sobre todo en niños y niñas pequeños.</w:t>
      </w:r>
    </w:p>
    <w:p w:rsidR="009C2C6A" w:rsidRDefault="009C2C6A">
      <w:pPr>
        <w:pStyle w:val="normal0"/>
        <w:rPr>
          <w:rFonts w:ascii="Times New Roman" w:eastAsia="Times New Roman" w:hAnsi="Times New Roman" w:cs="Times New Roman"/>
          <w:sz w:val="24"/>
          <w:szCs w:val="24"/>
        </w:rPr>
      </w:pPr>
    </w:p>
    <w:p w:rsidR="009C2C6A" w:rsidRDefault="00344171">
      <w:pPr>
        <w:pStyle w:val="normal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siguiendo este espíritu, creemos que es obligación de esta Legislatura exigir el preciso funcionamiento de las leyes que hemos votado, y consideramos que para el correcto funcionamiento de la ley 4572 es necesario realizar una serie de modificaciones que optimicen lo que ya está construido y multipliquen lo que falta.</w:t>
      </w:r>
    </w:p>
    <w:p w:rsidR="009C2C6A" w:rsidRDefault="009C2C6A">
      <w:pPr>
        <w:pStyle w:val="normal0"/>
        <w:rPr>
          <w:rFonts w:ascii="Times New Roman" w:eastAsia="Times New Roman" w:hAnsi="Times New Roman" w:cs="Times New Roman"/>
          <w:sz w:val="24"/>
          <w:szCs w:val="24"/>
        </w:rPr>
      </w:pPr>
    </w:p>
    <w:p w:rsidR="009C2C6A" w:rsidRDefault="00344171">
      <w:pPr>
        <w:pStyle w:val="normal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Que los bebederos de la ciudad deben estar diseñados con características inclusivas, que permitan el acceso de todas las personas, así como también deben fomentar, en concordancia con lo que ocurre con otras ciudades en el mundo, el uso racional del agua.</w:t>
      </w:r>
    </w:p>
    <w:p w:rsidR="009C2C6A" w:rsidRDefault="009C2C6A">
      <w:pPr>
        <w:pStyle w:val="normal0"/>
        <w:rPr>
          <w:rFonts w:ascii="Times New Roman" w:eastAsia="Times New Roman" w:hAnsi="Times New Roman" w:cs="Times New Roman"/>
          <w:sz w:val="24"/>
          <w:szCs w:val="24"/>
        </w:rPr>
      </w:pPr>
    </w:p>
    <w:p w:rsidR="009C2C6A" w:rsidRDefault="00344171">
      <w:pPr>
        <w:pStyle w:val="normal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Que todo esto debe ser garantizado para que el acceso al agua como derecho humano sea no una utopía, sino una realidad concreta que mejora la calidad de vida de todas las personas.</w:t>
      </w:r>
    </w:p>
    <w:p w:rsidR="009C2C6A" w:rsidRDefault="009C2C6A">
      <w:pPr>
        <w:pStyle w:val="normal0"/>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lo expuesto, esta  Comisión de Protección y Uso del Espacio Público aconseja la aprobación de la siguiente </w:t>
      </w:r>
    </w:p>
    <w:p w:rsidR="009C2C6A" w:rsidRDefault="009C2C6A">
      <w:pPr>
        <w:pStyle w:val="normal0"/>
        <w:rPr>
          <w:rFonts w:ascii="Times New Roman" w:eastAsia="Times New Roman" w:hAnsi="Times New Roman" w:cs="Times New Roman"/>
          <w:sz w:val="24"/>
          <w:szCs w:val="24"/>
        </w:rPr>
      </w:pPr>
    </w:p>
    <w:p w:rsidR="009C2C6A" w:rsidRDefault="009C2C6A">
      <w:pPr>
        <w:pStyle w:val="normal0"/>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rsidR="009C2C6A" w:rsidRDefault="00344171">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w:t>
      </w:r>
    </w:p>
    <w:p w:rsidR="009C2C6A" w:rsidRDefault="009C2C6A">
      <w:pPr>
        <w:pStyle w:val="normal0"/>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rsidR="009C2C6A" w:rsidRDefault="00344171">
      <w:pPr>
        <w:pStyle w:val="normal0"/>
        <w:pageBreakBefore/>
        <w:pBdr>
          <w:top w:val="nil"/>
          <w:left w:val="nil"/>
          <w:bottom w:val="nil"/>
          <w:right w:val="nil"/>
          <w:between w:val="nil"/>
        </w:pBdr>
        <w:spacing w:after="0" w:line="240" w:lineRule="auto"/>
        <w:rPr>
          <w:rFonts w:ascii="Arial" w:eastAsia="Arial" w:hAnsi="Arial" w:cs="Arial"/>
          <w:color w:val="000000"/>
        </w:rPr>
      </w:pPr>
      <w:r>
        <w:rPr>
          <w:rFonts w:ascii="Times New Roman" w:eastAsia="Times New Roman" w:hAnsi="Times New Roman" w:cs="Times New Roman"/>
          <w:color w:val="000000"/>
          <w:sz w:val="23"/>
          <w:szCs w:val="23"/>
        </w:rPr>
        <w:lastRenderedPageBreak/>
        <w:tab/>
      </w:r>
    </w:p>
    <w:p w:rsidR="009C2C6A" w:rsidRDefault="009C2C6A">
      <w:pPr>
        <w:pStyle w:val="normal0"/>
        <w:pBdr>
          <w:top w:val="nil"/>
          <w:left w:val="nil"/>
          <w:bottom w:val="nil"/>
          <w:right w:val="nil"/>
          <w:between w:val="nil"/>
        </w:pBdr>
        <w:spacing w:after="0" w:line="240" w:lineRule="auto"/>
        <w:rPr>
          <w:rFonts w:ascii="Arial" w:eastAsia="Arial" w:hAnsi="Arial" w:cs="Arial"/>
          <w:color w:val="000000"/>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C2C6A" w:rsidRDefault="009C2C6A">
      <w:pPr>
        <w:pStyle w:val="normal0"/>
        <w:rPr>
          <w:rFonts w:ascii="Times New Roman" w:eastAsia="Times New Roman" w:hAnsi="Times New Roman" w:cs="Times New Roman"/>
          <w:sz w:val="24"/>
          <w:szCs w:val="24"/>
        </w:rPr>
      </w:pPr>
    </w:p>
    <w:p w:rsidR="009C2C6A" w:rsidRDefault="00344171">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LEY</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b/>
          <w:i/>
          <w:color w:val="000000"/>
          <w:sz w:val="24"/>
          <w:szCs w:val="24"/>
          <w:highlight w:val="white"/>
        </w:rPr>
      </w:pPr>
      <w:r>
        <w:rPr>
          <w:rFonts w:ascii="Times New Roman" w:eastAsia="Times New Roman" w:hAnsi="Times New Roman" w:cs="Times New Roman"/>
          <w:b/>
          <w:i/>
          <w:color w:val="000000"/>
          <w:sz w:val="24"/>
          <w:szCs w:val="24"/>
          <w:highlight w:val="white"/>
        </w:rPr>
        <w:t>Artículo 1º- Se modifica el artículo 1º de la Ley 4.572 (</w:t>
      </w:r>
      <w:r>
        <w:rPr>
          <w:rFonts w:ascii="Times New Roman" w:eastAsia="Times New Roman" w:hAnsi="Times New Roman" w:cs="Times New Roman"/>
          <w:b/>
          <w:i/>
          <w:sz w:val="24"/>
          <w:szCs w:val="24"/>
          <w:highlight w:val="white"/>
        </w:rPr>
        <w:t>texto consolidado según Ley  6.764), el que quedará redactado de la siguiente manera</w:t>
      </w:r>
      <w:r>
        <w:rPr>
          <w:rFonts w:ascii="Times New Roman" w:eastAsia="Times New Roman" w:hAnsi="Times New Roman" w:cs="Times New Roman"/>
          <w:b/>
          <w:i/>
          <w:color w:val="000000"/>
          <w:sz w:val="24"/>
          <w:szCs w:val="24"/>
          <w:highlight w:val="white"/>
        </w:rPr>
        <w:t xml:space="preserve">: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“Artículo 1º. </w:t>
      </w:r>
      <w:r>
        <w:rPr>
          <w:rFonts w:ascii="Times New Roman" w:eastAsia="Times New Roman" w:hAnsi="Times New Roman" w:cs="Times New Roman"/>
          <w:i/>
          <w:sz w:val="24"/>
          <w:szCs w:val="24"/>
          <w:highlight w:val="white"/>
        </w:rPr>
        <w:t>Se dispone</w:t>
      </w:r>
      <w:r>
        <w:rPr>
          <w:rFonts w:ascii="Times New Roman" w:eastAsia="Times New Roman" w:hAnsi="Times New Roman" w:cs="Times New Roman"/>
          <w:i/>
          <w:color w:val="000000"/>
          <w:sz w:val="24"/>
          <w:szCs w:val="24"/>
          <w:highlight w:val="white"/>
        </w:rPr>
        <w:t xml:space="preserve"> la colocación de bebederos públicos de agua en los parques, plazas, paseos públicos, zona de ingreso a establecimientos educativos de todos los niveles y modalidades, senderos públicos, circuitos aeróbicos, estaciones de distribución y estacionamiento del Sistema de Transporte Público en Bicicleta.” </w:t>
      </w:r>
    </w:p>
    <w:p w:rsidR="009C2C6A" w:rsidRDefault="009C2C6A">
      <w:pPr>
        <w:pStyle w:val="normal0"/>
        <w:pBdr>
          <w:top w:val="nil"/>
          <w:left w:val="nil"/>
          <w:bottom w:val="nil"/>
          <w:right w:val="nil"/>
          <w:between w:val="nil"/>
        </w:pBdr>
        <w:tabs>
          <w:tab w:val="left" w:pos="842"/>
        </w:tabs>
        <w:spacing w:after="0" w:line="300" w:lineRule="auto"/>
        <w:ind w:firstLine="850"/>
        <w:jc w:val="both"/>
        <w:rPr>
          <w:rFonts w:ascii="Times New Roman" w:eastAsia="Times New Roman" w:hAnsi="Times New Roman" w:cs="Times New Roman"/>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b/>
          <w:i/>
          <w:color w:val="000000"/>
          <w:sz w:val="24"/>
          <w:szCs w:val="24"/>
          <w:highlight w:val="white"/>
        </w:rPr>
      </w:pPr>
      <w:r>
        <w:rPr>
          <w:rFonts w:ascii="Times New Roman" w:eastAsia="Times New Roman" w:hAnsi="Times New Roman" w:cs="Times New Roman"/>
          <w:b/>
          <w:i/>
          <w:color w:val="000000"/>
          <w:sz w:val="24"/>
          <w:szCs w:val="24"/>
          <w:highlight w:val="white"/>
        </w:rPr>
        <w:t xml:space="preserve">Artículo 2°- Se modifica el </w:t>
      </w:r>
      <w:r>
        <w:rPr>
          <w:rFonts w:ascii="Times New Roman" w:eastAsia="Times New Roman" w:hAnsi="Times New Roman" w:cs="Times New Roman"/>
          <w:b/>
          <w:i/>
          <w:sz w:val="24"/>
          <w:szCs w:val="24"/>
          <w:highlight w:val="white"/>
        </w:rPr>
        <w:t>a</w:t>
      </w:r>
      <w:r>
        <w:rPr>
          <w:rFonts w:ascii="Times New Roman" w:eastAsia="Times New Roman" w:hAnsi="Times New Roman" w:cs="Times New Roman"/>
          <w:b/>
          <w:i/>
          <w:color w:val="000000"/>
          <w:sz w:val="24"/>
          <w:szCs w:val="24"/>
          <w:highlight w:val="white"/>
        </w:rPr>
        <w:t xml:space="preserve">rtículo 2° de la Ley 4.572 </w:t>
      </w:r>
      <w:r>
        <w:rPr>
          <w:rFonts w:ascii="Times New Roman" w:eastAsia="Times New Roman" w:hAnsi="Times New Roman" w:cs="Times New Roman"/>
          <w:b/>
          <w:i/>
          <w:sz w:val="24"/>
          <w:szCs w:val="24"/>
          <w:highlight w:val="white"/>
        </w:rPr>
        <w:t>(texto consolidado según Ley  6.764)</w:t>
      </w:r>
      <w:r>
        <w:rPr>
          <w:rFonts w:ascii="Times New Roman" w:eastAsia="Times New Roman" w:hAnsi="Times New Roman" w:cs="Times New Roman"/>
          <w:b/>
          <w:i/>
          <w:color w:val="000000"/>
          <w:sz w:val="24"/>
          <w:szCs w:val="24"/>
          <w:highlight w:val="white"/>
        </w:rPr>
        <w:t xml:space="preserve">, el </w:t>
      </w:r>
      <w:r>
        <w:rPr>
          <w:rFonts w:ascii="Times New Roman" w:eastAsia="Times New Roman" w:hAnsi="Times New Roman" w:cs="Times New Roman"/>
          <w:b/>
          <w:i/>
          <w:sz w:val="24"/>
          <w:szCs w:val="24"/>
          <w:highlight w:val="white"/>
        </w:rPr>
        <w:t>que</w:t>
      </w:r>
      <w:r>
        <w:rPr>
          <w:rFonts w:ascii="Times New Roman" w:eastAsia="Times New Roman" w:hAnsi="Times New Roman" w:cs="Times New Roman"/>
          <w:b/>
          <w:i/>
          <w:color w:val="000000"/>
          <w:sz w:val="24"/>
          <w:szCs w:val="24"/>
          <w:highlight w:val="white"/>
        </w:rPr>
        <w:t xml:space="preserve"> quedará redactado de la siguiente manera:</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“Artículo 2°.- La cantidad de los bebederos públicos de agua debe ser reglamentada según los estudios de factibilidad técnica. En ningún caso puede ser menor a uno por parque, plaza o paseo público de la ciudad."</w:t>
      </w:r>
    </w:p>
    <w:p w:rsidR="009C2C6A" w:rsidRDefault="009C2C6A">
      <w:pPr>
        <w:pStyle w:val="normal0"/>
        <w:pBdr>
          <w:top w:val="nil"/>
          <w:left w:val="nil"/>
          <w:bottom w:val="nil"/>
          <w:right w:val="nil"/>
          <w:between w:val="nil"/>
        </w:pBdr>
        <w:tabs>
          <w:tab w:val="left" w:pos="842"/>
        </w:tabs>
        <w:spacing w:after="0" w:line="300" w:lineRule="auto"/>
        <w:ind w:left="720"/>
        <w:jc w:val="both"/>
        <w:rPr>
          <w:rFonts w:ascii="Times New Roman" w:eastAsia="Times New Roman" w:hAnsi="Times New Roman" w:cs="Times New Roman"/>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b/>
          <w:i/>
          <w:color w:val="000000"/>
          <w:sz w:val="24"/>
          <w:szCs w:val="24"/>
          <w:highlight w:val="white"/>
        </w:rPr>
        <w:t xml:space="preserve">Artículo 3°.- Se modifica el </w:t>
      </w:r>
      <w:r>
        <w:rPr>
          <w:rFonts w:ascii="Times New Roman" w:eastAsia="Times New Roman" w:hAnsi="Times New Roman" w:cs="Times New Roman"/>
          <w:b/>
          <w:i/>
          <w:sz w:val="24"/>
          <w:szCs w:val="24"/>
          <w:highlight w:val="white"/>
        </w:rPr>
        <w:t>a</w:t>
      </w:r>
      <w:r>
        <w:rPr>
          <w:rFonts w:ascii="Times New Roman" w:eastAsia="Times New Roman" w:hAnsi="Times New Roman" w:cs="Times New Roman"/>
          <w:b/>
          <w:i/>
          <w:color w:val="000000"/>
          <w:sz w:val="24"/>
          <w:szCs w:val="24"/>
          <w:highlight w:val="white"/>
        </w:rPr>
        <w:t xml:space="preserve">rtículo 3° de la Ley 4.572 </w:t>
      </w:r>
      <w:r>
        <w:rPr>
          <w:rFonts w:ascii="Times New Roman" w:eastAsia="Times New Roman" w:hAnsi="Times New Roman" w:cs="Times New Roman"/>
          <w:b/>
          <w:i/>
          <w:sz w:val="24"/>
          <w:szCs w:val="24"/>
          <w:highlight w:val="white"/>
        </w:rPr>
        <w:t>(texto consolidado según Ley 6.764)</w:t>
      </w:r>
      <w:r>
        <w:rPr>
          <w:rFonts w:ascii="Times New Roman" w:eastAsia="Times New Roman" w:hAnsi="Times New Roman" w:cs="Times New Roman"/>
          <w:b/>
          <w:i/>
          <w:color w:val="000000"/>
          <w:sz w:val="24"/>
          <w:szCs w:val="24"/>
          <w:highlight w:val="white"/>
        </w:rPr>
        <w:t xml:space="preserve">, el </w:t>
      </w:r>
      <w:r>
        <w:rPr>
          <w:rFonts w:ascii="Times New Roman" w:eastAsia="Times New Roman" w:hAnsi="Times New Roman" w:cs="Times New Roman"/>
          <w:b/>
          <w:i/>
          <w:sz w:val="24"/>
          <w:szCs w:val="24"/>
          <w:highlight w:val="white"/>
        </w:rPr>
        <w:t>que</w:t>
      </w:r>
      <w:r>
        <w:rPr>
          <w:rFonts w:ascii="Times New Roman" w:eastAsia="Times New Roman" w:hAnsi="Times New Roman" w:cs="Times New Roman"/>
          <w:b/>
          <w:i/>
          <w:color w:val="000000"/>
          <w:sz w:val="24"/>
          <w:szCs w:val="24"/>
          <w:highlight w:val="white"/>
        </w:rPr>
        <w:t xml:space="preserve"> quedará redactado de la siguiente manera:</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“Artículo 3°.- El diseño, la disposición y construcción de los bebederos debe: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a) Tener en consideración el ahorro de agua mediante un sistema apropiado para tales fines.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b) Su diseño debe contemplar la posibilidad de recarga de botellas.</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c) Su diseño debe ser funcional a todas las personas, teniendo en cuenta a adultos mayores, </w:t>
      </w:r>
      <w:r>
        <w:rPr>
          <w:rFonts w:ascii="Times New Roman" w:eastAsia="Times New Roman" w:hAnsi="Times New Roman" w:cs="Times New Roman"/>
          <w:i/>
          <w:sz w:val="24"/>
          <w:szCs w:val="24"/>
          <w:highlight w:val="white"/>
        </w:rPr>
        <w:t xml:space="preserve">a </w:t>
      </w:r>
      <w:r>
        <w:rPr>
          <w:rFonts w:ascii="Times New Roman" w:eastAsia="Times New Roman" w:hAnsi="Times New Roman" w:cs="Times New Roman"/>
          <w:i/>
          <w:color w:val="000000"/>
          <w:sz w:val="24"/>
          <w:szCs w:val="24"/>
          <w:highlight w:val="white"/>
        </w:rPr>
        <w:t>niños</w:t>
      </w:r>
      <w:r>
        <w:rPr>
          <w:rFonts w:ascii="Times New Roman" w:eastAsia="Times New Roman" w:hAnsi="Times New Roman" w:cs="Times New Roman"/>
          <w:i/>
          <w:sz w:val="24"/>
          <w:szCs w:val="24"/>
          <w:highlight w:val="white"/>
        </w:rPr>
        <w:t xml:space="preserve"> y</w:t>
      </w:r>
      <w:r>
        <w:rPr>
          <w:rFonts w:ascii="Times New Roman" w:eastAsia="Times New Roman" w:hAnsi="Times New Roman" w:cs="Times New Roman"/>
          <w:i/>
          <w:color w:val="000000"/>
          <w:sz w:val="24"/>
          <w:szCs w:val="24"/>
          <w:highlight w:val="white"/>
        </w:rPr>
        <w:t xml:space="preserve"> niñas y a personas con discapacidad.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d) Ajustar el diseño a los más apropiados estándares de higiene y seguridad, para evitar todo tipo de propagación de enfermedades.” </w:t>
      </w:r>
    </w:p>
    <w:p w:rsidR="009C2C6A" w:rsidRDefault="009C2C6A">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b/>
          <w:i/>
          <w:color w:val="000000"/>
          <w:sz w:val="24"/>
          <w:szCs w:val="24"/>
          <w:highlight w:val="white"/>
        </w:rPr>
        <w:t xml:space="preserve">Artículo 4°.- Se modifica el </w:t>
      </w:r>
      <w:r>
        <w:rPr>
          <w:rFonts w:ascii="Times New Roman" w:eastAsia="Times New Roman" w:hAnsi="Times New Roman" w:cs="Times New Roman"/>
          <w:b/>
          <w:i/>
          <w:sz w:val="24"/>
          <w:szCs w:val="24"/>
          <w:highlight w:val="white"/>
        </w:rPr>
        <w:t>a</w:t>
      </w:r>
      <w:r>
        <w:rPr>
          <w:rFonts w:ascii="Times New Roman" w:eastAsia="Times New Roman" w:hAnsi="Times New Roman" w:cs="Times New Roman"/>
          <w:b/>
          <w:i/>
          <w:color w:val="000000"/>
          <w:sz w:val="24"/>
          <w:szCs w:val="24"/>
          <w:highlight w:val="white"/>
        </w:rPr>
        <w:t xml:space="preserve">rtículo 4º de la Ley 4.572 </w:t>
      </w:r>
      <w:r>
        <w:rPr>
          <w:rFonts w:ascii="Times New Roman" w:eastAsia="Times New Roman" w:hAnsi="Times New Roman" w:cs="Times New Roman"/>
          <w:b/>
          <w:i/>
          <w:sz w:val="24"/>
          <w:szCs w:val="24"/>
          <w:highlight w:val="white"/>
        </w:rPr>
        <w:t>(texto consolidado según Ley 6.764)</w:t>
      </w:r>
      <w:r>
        <w:rPr>
          <w:rFonts w:ascii="Times New Roman" w:eastAsia="Times New Roman" w:hAnsi="Times New Roman" w:cs="Times New Roman"/>
          <w:b/>
          <w:i/>
          <w:color w:val="000000"/>
          <w:sz w:val="24"/>
          <w:szCs w:val="24"/>
          <w:highlight w:val="white"/>
        </w:rPr>
        <w:t xml:space="preserve">, el </w:t>
      </w:r>
      <w:r>
        <w:rPr>
          <w:rFonts w:ascii="Times New Roman" w:eastAsia="Times New Roman" w:hAnsi="Times New Roman" w:cs="Times New Roman"/>
          <w:b/>
          <w:i/>
          <w:sz w:val="24"/>
          <w:szCs w:val="24"/>
          <w:highlight w:val="white"/>
        </w:rPr>
        <w:t>que</w:t>
      </w:r>
      <w:r>
        <w:rPr>
          <w:rFonts w:ascii="Times New Roman" w:eastAsia="Times New Roman" w:hAnsi="Times New Roman" w:cs="Times New Roman"/>
          <w:b/>
          <w:i/>
          <w:color w:val="000000"/>
          <w:sz w:val="24"/>
          <w:szCs w:val="24"/>
          <w:highlight w:val="white"/>
        </w:rPr>
        <w:t xml:space="preserve"> quedará redactado de la siguiente manera:</w:t>
      </w:r>
      <w:r>
        <w:rPr>
          <w:rFonts w:ascii="Times New Roman" w:eastAsia="Times New Roman" w:hAnsi="Times New Roman" w:cs="Times New Roman"/>
          <w:i/>
          <w:color w:val="000000"/>
          <w:sz w:val="24"/>
          <w:szCs w:val="24"/>
          <w:highlight w:val="white"/>
        </w:rPr>
        <w:t xml:space="preserve">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“Artículo 4°</w:t>
      </w:r>
      <w:r>
        <w:rPr>
          <w:rFonts w:ascii="Times New Roman" w:eastAsia="Times New Roman" w:hAnsi="Times New Roman" w:cs="Times New Roman"/>
          <w:i/>
          <w:sz w:val="24"/>
          <w:szCs w:val="24"/>
          <w:highlight w:val="white"/>
        </w:rPr>
        <w:t>.-</w:t>
      </w:r>
      <w:r>
        <w:rPr>
          <w:rFonts w:ascii="Times New Roman" w:eastAsia="Times New Roman" w:hAnsi="Times New Roman" w:cs="Times New Roman"/>
          <w:i/>
          <w:color w:val="000000"/>
          <w:sz w:val="24"/>
          <w:szCs w:val="24"/>
          <w:highlight w:val="white"/>
        </w:rPr>
        <w:t xml:space="preserve">   En las ubicaciones definidas en el </w:t>
      </w:r>
      <w:r>
        <w:rPr>
          <w:rFonts w:ascii="Times New Roman" w:eastAsia="Times New Roman" w:hAnsi="Times New Roman" w:cs="Times New Roman"/>
          <w:i/>
          <w:sz w:val="24"/>
          <w:szCs w:val="24"/>
          <w:highlight w:val="white"/>
        </w:rPr>
        <w:t>a</w:t>
      </w:r>
      <w:r>
        <w:rPr>
          <w:rFonts w:ascii="Times New Roman" w:eastAsia="Times New Roman" w:hAnsi="Times New Roman" w:cs="Times New Roman"/>
          <w:i/>
          <w:color w:val="000000"/>
          <w:sz w:val="24"/>
          <w:szCs w:val="24"/>
          <w:highlight w:val="white"/>
        </w:rPr>
        <w:t xml:space="preserve">rtículo 1° en los que ya se encuentran instalados bebederos públicos de agua, se </w:t>
      </w:r>
      <w:r>
        <w:rPr>
          <w:rFonts w:ascii="Times New Roman" w:eastAsia="Times New Roman" w:hAnsi="Times New Roman" w:cs="Times New Roman"/>
          <w:i/>
          <w:sz w:val="24"/>
          <w:szCs w:val="24"/>
          <w:highlight w:val="white"/>
        </w:rPr>
        <w:t>debe evaluar</w:t>
      </w:r>
      <w:r>
        <w:rPr>
          <w:rFonts w:ascii="Times New Roman" w:eastAsia="Times New Roman" w:hAnsi="Times New Roman" w:cs="Times New Roman"/>
          <w:i/>
          <w:color w:val="000000"/>
          <w:sz w:val="24"/>
          <w:szCs w:val="24"/>
          <w:highlight w:val="white"/>
        </w:rPr>
        <w:t xml:space="preserve"> la colocación adicional en base a los estudios de factibilidad técnica previsto en el artículo 2° de la presente. Los bebederos p</w:t>
      </w:r>
      <w:r>
        <w:rPr>
          <w:rFonts w:ascii="Times New Roman" w:eastAsia="Times New Roman" w:hAnsi="Times New Roman" w:cs="Times New Roman"/>
          <w:i/>
          <w:sz w:val="24"/>
          <w:szCs w:val="24"/>
          <w:highlight w:val="white"/>
        </w:rPr>
        <w:t>úblicos ya existentes</w:t>
      </w:r>
      <w:r>
        <w:rPr>
          <w:rFonts w:ascii="Times New Roman" w:eastAsia="Times New Roman" w:hAnsi="Times New Roman" w:cs="Times New Roman"/>
          <w:i/>
          <w:color w:val="000000"/>
          <w:sz w:val="24"/>
          <w:szCs w:val="24"/>
          <w:highlight w:val="white"/>
        </w:rPr>
        <w:t xml:space="preserve"> serán revisados </w:t>
      </w:r>
      <w:r>
        <w:rPr>
          <w:rFonts w:ascii="Times New Roman" w:eastAsia="Times New Roman" w:hAnsi="Times New Roman" w:cs="Times New Roman"/>
          <w:i/>
          <w:sz w:val="24"/>
          <w:szCs w:val="24"/>
          <w:highlight w:val="white"/>
        </w:rPr>
        <w:t>a fin de evaluar</w:t>
      </w:r>
      <w:r>
        <w:rPr>
          <w:rFonts w:ascii="Times New Roman" w:eastAsia="Times New Roman" w:hAnsi="Times New Roman" w:cs="Times New Roman"/>
          <w:i/>
          <w:color w:val="000000"/>
          <w:sz w:val="24"/>
          <w:szCs w:val="24"/>
          <w:highlight w:val="white"/>
        </w:rPr>
        <w:t xml:space="preserve"> su adecuación o reemplazo según los estándares </w:t>
      </w:r>
      <w:r>
        <w:rPr>
          <w:rFonts w:ascii="Times New Roman" w:eastAsia="Times New Roman" w:hAnsi="Times New Roman" w:cs="Times New Roman"/>
          <w:i/>
          <w:sz w:val="24"/>
          <w:szCs w:val="24"/>
          <w:highlight w:val="white"/>
        </w:rPr>
        <w:t xml:space="preserve">establecidos </w:t>
      </w:r>
      <w:r>
        <w:rPr>
          <w:rFonts w:ascii="Times New Roman" w:eastAsia="Times New Roman" w:hAnsi="Times New Roman" w:cs="Times New Roman"/>
          <w:i/>
          <w:color w:val="000000"/>
          <w:sz w:val="24"/>
          <w:szCs w:val="24"/>
          <w:highlight w:val="white"/>
        </w:rPr>
        <w:t>en el artículo 3</w:t>
      </w:r>
      <w:r>
        <w:rPr>
          <w:rFonts w:ascii="Times New Roman" w:eastAsia="Times New Roman" w:hAnsi="Times New Roman" w:cs="Times New Roman"/>
          <w:i/>
          <w:sz w:val="24"/>
          <w:szCs w:val="24"/>
          <w:highlight w:val="white"/>
        </w:rPr>
        <w:t>°.”</w:t>
      </w:r>
    </w:p>
    <w:p w:rsidR="009C2C6A" w:rsidRDefault="009C2C6A">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b/>
          <w:i/>
          <w:color w:val="000000"/>
          <w:sz w:val="24"/>
          <w:szCs w:val="24"/>
          <w:highlight w:val="white"/>
        </w:rPr>
        <w:t xml:space="preserve">Artículo 5°.- Se incorpora </w:t>
      </w:r>
      <w:r>
        <w:rPr>
          <w:rFonts w:ascii="Times New Roman" w:eastAsia="Times New Roman" w:hAnsi="Times New Roman" w:cs="Times New Roman"/>
          <w:b/>
          <w:i/>
          <w:sz w:val="24"/>
          <w:szCs w:val="24"/>
          <w:highlight w:val="white"/>
        </w:rPr>
        <w:t>como</w:t>
      </w:r>
      <w:r>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sz w:val="24"/>
          <w:szCs w:val="24"/>
          <w:highlight w:val="white"/>
        </w:rPr>
        <w:t>a</w:t>
      </w:r>
      <w:r>
        <w:rPr>
          <w:rFonts w:ascii="Times New Roman" w:eastAsia="Times New Roman" w:hAnsi="Times New Roman" w:cs="Times New Roman"/>
          <w:b/>
          <w:i/>
          <w:color w:val="000000"/>
          <w:sz w:val="24"/>
          <w:szCs w:val="24"/>
          <w:highlight w:val="white"/>
        </w:rPr>
        <w:t xml:space="preserve">rtículo 7° a la Ley 4.572 </w:t>
      </w:r>
      <w:r>
        <w:rPr>
          <w:rFonts w:ascii="Times New Roman" w:eastAsia="Times New Roman" w:hAnsi="Times New Roman" w:cs="Times New Roman"/>
          <w:b/>
          <w:i/>
          <w:sz w:val="24"/>
          <w:szCs w:val="24"/>
          <w:highlight w:val="white"/>
        </w:rPr>
        <w:t>(texto consolidado según Ley 6.764)</w:t>
      </w:r>
      <w:r>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sz w:val="24"/>
          <w:szCs w:val="24"/>
          <w:highlight w:val="white"/>
        </w:rPr>
        <w:t>el siguiente texto</w:t>
      </w:r>
      <w:r>
        <w:rPr>
          <w:rFonts w:ascii="Times New Roman" w:eastAsia="Times New Roman" w:hAnsi="Times New Roman" w:cs="Times New Roman"/>
          <w:b/>
          <w:i/>
          <w:color w:val="000000"/>
          <w:sz w:val="24"/>
          <w:szCs w:val="24"/>
          <w:highlight w:val="white"/>
        </w:rPr>
        <w:t>:</w:t>
      </w:r>
      <w:r>
        <w:rPr>
          <w:rFonts w:ascii="Times New Roman" w:eastAsia="Times New Roman" w:hAnsi="Times New Roman" w:cs="Times New Roman"/>
          <w:i/>
          <w:color w:val="000000"/>
          <w:sz w:val="24"/>
          <w:szCs w:val="24"/>
          <w:highlight w:val="white"/>
        </w:rPr>
        <w:t xml:space="preserve">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“Artículo 7°.- La autoridad de aplicación debe generar campañas de concientización a través de todos los medios </w:t>
      </w:r>
      <w:r>
        <w:rPr>
          <w:rFonts w:ascii="Times New Roman" w:eastAsia="Times New Roman" w:hAnsi="Times New Roman" w:cs="Times New Roman"/>
          <w:i/>
          <w:sz w:val="24"/>
          <w:szCs w:val="24"/>
          <w:highlight w:val="white"/>
        </w:rPr>
        <w:t>disponibles</w:t>
      </w:r>
      <w:r>
        <w:rPr>
          <w:rFonts w:ascii="Times New Roman" w:eastAsia="Times New Roman" w:hAnsi="Times New Roman" w:cs="Times New Roman"/>
          <w:i/>
          <w:color w:val="000000"/>
          <w:sz w:val="24"/>
          <w:szCs w:val="24"/>
          <w:highlight w:val="white"/>
        </w:rPr>
        <w:t xml:space="preserve"> sobre la importancia del consumo de agua, el cuidado de los bebederos y la recarga de botellas reutilizables."</w:t>
      </w:r>
    </w:p>
    <w:p w:rsidR="009C2C6A" w:rsidRDefault="009C2C6A">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b/>
          <w:i/>
          <w:color w:val="000000"/>
          <w:sz w:val="24"/>
          <w:szCs w:val="24"/>
          <w:highlight w:val="white"/>
        </w:rPr>
        <w:t xml:space="preserve">Artículo 6°.- Se incorpora </w:t>
      </w:r>
      <w:r>
        <w:rPr>
          <w:rFonts w:ascii="Times New Roman" w:eastAsia="Times New Roman" w:hAnsi="Times New Roman" w:cs="Times New Roman"/>
          <w:b/>
          <w:i/>
          <w:sz w:val="24"/>
          <w:szCs w:val="24"/>
          <w:highlight w:val="white"/>
        </w:rPr>
        <w:t>como</w:t>
      </w:r>
      <w:r>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sz w:val="24"/>
          <w:szCs w:val="24"/>
          <w:highlight w:val="white"/>
        </w:rPr>
        <w:t>a</w:t>
      </w:r>
      <w:r>
        <w:rPr>
          <w:rFonts w:ascii="Times New Roman" w:eastAsia="Times New Roman" w:hAnsi="Times New Roman" w:cs="Times New Roman"/>
          <w:b/>
          <w:i/>
          <w:color w:val="000000"/>
          <w:sz w:val="24"/>
          <w:szCs w:val="24"/>
          <w:highlight w:val="white"/>
        </w:rPr>
        <w:t xml:space="preserve">rtículo 8° a la Ley 4.572 </w:t>
      </w:r>
      <w:r>
        <w:rPr>
          <w:rFonts w:ascii="Times New Roman" w:eastAsia="Times New Roman" w:hAnsi="Times New Roman" w:cs="Times New Roman"/>
          <w:b/>
          <w:i/>
          <w:sz w:val="24"/>
          <w:szCs w:val="24"/>
          <w:highlight w:val="white"/>
        </w:rPr>
        <w:t>(texto consolidado según Ley 6.764)</w:t>
      </w:r>
      <w:r>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sz w:val="24"/>
          <w:szCs w:val="24"/>
          <w:highlight w:val="white"/>
        </w:rPr>
        <w:t>el siguiente texto</w:t>
      </w:r>
      <w:r>
        <w:rPr>
          <w:rFonts w:ascii="Times New Roman" w:eastAsia="Times New Roman" w:hAnsi="Times New Roman" w:cs="Times New Roman"/>
          <w:b/>
          <w:i/>
          <w:color w:val="000000"/>
          <w:sz w:val="24"/>
          <w:szCs w:val="24"/>
          <w:highlight w:val="white"/>
        </w:rPr>
        <w:t>:</w:t>
      </w:r>
      <w:r>
        <w:rPr>
          <w:rFonts w:ascii="Times New Roman" w:eastAsia="Times New Roman" w:hAnsi="Times New Roman" w:cs="Times New Roman"/>
          <w:i/>
          <w:color w:val="000000"/>
          <w:sz w:val="24"/>
          <w:szCs w:val="24"/>
          <w:highlight w:val="white"/>
        </w:rPr>
        <w:t xml:space="preserve"> </w:t>
      </w: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highlight w:val="white"/>
        </w:rPr>
        <w:lastRenderedPageBreak/>
        <w:t>“Artículo 8</w:t>
      </w:r>
      <w:r>
        <w:rPr>
          <w:rFonts w:ascii="Times New Roman" w:eastAsia="Times New Roman" w:hAnsi="Times New Roman" w:cs="Times New Roman"/>
          <w:i/>
          <w:color w:val="000000"/>
          <w:sz w:val="24"/>
          <w:szCs w:val="24"/>
          <w:highlight w:val="white"/>
        </w:rPr>
        <w:t xml:space="preserve"> ° - La autoridad de aplicación debe elaborar un plan de control de higiene, mantenimiento, correcto funcionamiento de los bebederos y análisis de la calidad del agua bromatológico, físico-químico y bacteriológico.”.</w:t>
      </w:r>
    </w:p>
    <w:p w:rsidR="009C2C6A" w:rsidRDefault="009C2C6A">
      <w:pPr>
        <w:pStyle w:val="normal0"/>
        <w:pBdr>
          <w:top w:val="nil"/>
          <w:left w:val="nil"/>
          <w:bottom w:val="nil"/>
          <w:right w:val="nil"/>
          <w:between w:val="nil"/>
        </w:pBdr>
        <w:tabs>
          <w:tab w:val="left" w:pos="842"/>
        </w:tabs>
        <w:spacing w:after="0" w:line="300" w:lineRule="auto"/>
        <w:ind w:firstLine="850"/>
        <w:jc w:val="both"/>
        <w:rPr>
          <w:rFonts w:ascii="Times New Roman" w:eastAsia="Times New Roman" w:hAnsi="Times New Roman" w:cs="Times New Roman"/>
          <w:i/>
          <w:color w:val="000000"/>
          <w:sz w:val="24"/>
          <w:szCs w:val="24"/>
          <w:highlight w:val="white"/>
        </w:rPr>
      </w:pPr>
    </w:p>
    <w:p w:rsidR="009C2C6A" w:rsidRDefault="00344171">
      <w:pPr>
        <w:pStyle w:val="normal0"/>
        <w:pBdr>
          <w:top w:val="nil"/>
          <w:left w:val="nil"/>
          <w:bottom w:val="nil"/>
          <w:right w:val="nil"/>
          <w:between w:val="nil"/>
        </w:pBdr>
        <w:tabs>
          <w:tab w:val="left" w:pos="842"/>
        </w:tabs>
        <w:spacing w:after="0" w:line="30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4"/>
          <w:szCs w:val="24"/>
        </w:rPr>
        <w:t>Art. 7°</w:t>
      </w:r>
      <w:r>
        <w:rPr>
          <w:rFonts w:ascii="Times New Roman" w:eastAsia="Times New Roman" w:hAnsi="Times New Roman" w:cs="Times New Roman"/>
          <w:sz w:val="24"/>
          <w:szCs w:val="24"/>
        </w:rPr>
        <w:t>.-</w:t>
      </w:r>
      <w:r w:rsidR="004B2D50">
        <w:rPr>
          <w:rFonts w:ascii="Times New Roman" w:eastAsia="Times New Roman" w:hAnsi="Times New Roman" w:cs="Times New Roman"/>
          <w:color w:val="000000"/>
          <w:sz w:val="24"/>
          <w:szCs w:val="24"/>
        </w:rPr>
        <w:t>Comuníquese</w:t>
      </w:r>
      <w:r>
        <w:rPr>
          <w:rFonts w:ascii="Times New Roman" w:eastAsia="Times New Roman" w:hAnsi="Times New Roman" w:cs="Times New Roman"/>
          <w:color w:val="000000"/>
          <w:sz w:val="24"/>
          <w:szCs w:val="24"/>
        </w:rPr>
        <w:t>, etc</w:t>
      </w:r>
      <w:r>
        <w:rPr>
          <w:rFonts w:ascii="Times New Roman" w:eastAsia="Times New Roman" w:hAnsi="Times New Roman" w:cs="Times New Roman"/>
          <w:color w:val="000000"/>
          <w:sz w:val="23"/>
          <w:szCs w:val="23"/>
        </w:rPr>
        <w:t>.</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Sala de la Comisión:</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FERREÑO, Claudio                                                                                      IMAS, Silvia</w:t>
      </w: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                                                                                              Vicepresidenta 1°</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MOLLARD,  Ma. Fernanda                                                                FERRERO, Cecilia</w:t>
      </w: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Vicepresidenta 2°</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FREIRE, Victoria                                                                     LA BLUNDA, Andrés</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PARERA, Ignacio                                                                   RETA, Jorge</w:t>
      </w: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9C2C6A">
      <w:pPr>
        <w:pStyle w:val="normal0"/>
        <w:rPr>
          <w:rFonts w:ascii="Times New Roman" w:eastAsia="Times New Roman" w:hAnsi="Times New Roman" w:cs="Times New Roman"/>
          <w:sz w:val="24"/>
          <w:szCs w:val="24"/>
        </w:rPr>
      </w:pPr>
    </w:p>
    <w:p w:rsidR="009C2C6A" w:rsidRDefault="00344171">
      <w:pPr>
        <w:pStyle w:val="normal0"/>
        <w:rPr>
          <w:rFonts w:ascii="Times New Roman" w:eastAsia="Times New Roman" w:hAnsi="Times New Roman" w:cs="Times New Roman"/>
          <w:color w:val="000000"/>
          <w:sz w:val="23"/>
          <w:szCs w:val="23"/>
        </w:rPr>
      </w:pPr>
      <w:r>
        <w:rPr>
          <w:rFonts w:ascii="Times New Roman" w:eastAsia="Times New Roman" w:hAnsi="Times New Roman" w:cs="Times New Roman"/>
          <w:sz w:val="24"/>
          <w:szCs w:val="24"/>
        </w:rPr>
        <w:t>SUAREZ, Guillermo</w:t>
      </w:r>
    </w:p>
    <w:sectPr w:rsidR="009C2C6A" w:rsidSect="009C2C6A">
      <w:headerReference w:type="default" r:id="rId8"/>
      <w:footerReference w:type="default" r:id="rId9"/>
      <w:pgSz w:w="12240" w:h="20160"/>
      <w:pgMar w:top="1701" w:right="1701" w:bottom="1418" w:left="1701" w:header="709"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5A6" w:rsidRDefault="00D855A6" w:rsidP="009C2C6A">
      <w:pPr>
        <w:spacing w:after="0" w:line="240" w:lineRule="auto"/>
      </w:pPr>
      <w:r>
        <w:separator/>
      </w:r>
    </w:p>
  </w:endnote>
  <w:endnote w:type="continuationSeparator" w:id="0">
    <w:p w:rsidR="00D855A6" w:rsidRDefault="00D855A6" w:rsidP="009C2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 w:name="Montserra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C6A" w:rsidRDefault="00344171">
    <w:pPr>
      <w:pStyle w:val="normal0"/>
      <w:pBdr>
        <w:top w:val="nil"/>
        <w:left w:val="nil"/>
        <w:bottom w:val="nil"/>
        <w:right w:val="nil"/>
        <w:between w:val="nil"/>
      </w:pBdr>
      <w:tabs>
        <w:tab w:val="center" w:pos="4252"/>
        <w:tab w:val="right" w:pos="8504"/>
      </w:tabs>
      <w:spacing w:after="0" w:line="240" w:lineRule="auto"/>
      <w:ind w:left="142"/>
      <w:rPr>
        <w:color w:val="333333"/>
        <w:sz w:val="20"/>
        <w:szCs w:val="20"/>
      </w:rPr>
    </w:pPr>
    <w:r>
      <w:rPr>
        <w:color w:val="333333"/>
        <w:sz w:val="20"/>
        <w:szCs w:val="20"/>
      </w:rPr>
      <w:t>Último cambio: 16/7/2025 12:46:</w:t>
    </w:r>
    <w:r w:rsidR="004B2D50">
      <w:rPr>
        <w:color w:val="333333"/>
        <w:sz w:val="20"/>
        <w:szCs w:val="20"/>
      </w:rPr>
      <w:t>00  -  Cantidad de caracteres: 5.54</w:t>
    </w:r>
    <w:r w:rsidR="00053A41">
      <w:rPr>
        <w:color w:val="333333"/>
        <w:sz w:val="20"/>
        <w:szCs w:val="20"/>
      </w:rPr>
      <w:t>0</w:t>
    </w:r>
    <w:r w:rsidR="004B2D50">
      <w:rPr>
        <w:color w:val="333333"/>
        <w:sz w:val="20"/>
        <w:szCs w:val="20"/>
      </w:rPr>
      <w:t xml:space="preserve"> - Cantidad de palabras: 82</w:t>
    </w:r>
    <w:r w:rsidR="00053A41">
      <w:rPr>
        <w:color w:val="333333"/>
        <w:sz w:val="20"/>
        <w:szCs w:val="20"/>
      </w:rPr>
      <w:t>2</w:t>
    </w:r>
  </w:p>
  <w:p w:rsidR="009C2C6A" w:rsidRDefault="00344171">
    <w:pPr>
      <w:pStyle w:val="normal0"/>
      <w:pBdr>
        <w:top w:val="nil"/>
        <w:left w:val="nil"/>
        <w:bottom w:val="nil"/>
        <w:right w:val="nil"/>
        <w:between w:val="nil"/>
      </w:pBdr>
      <w:tabs>
        <w:tab w:val="center" w:pos="4252"/>
        <w:tab w:val="right" w:pos="8504"/>
        <w:tab w:val="left" w:pos="3565"/>
      </w:tabs>
      <w:spacing w:after="0" w:line="240" w:lineRule="auto"/>
      <w:rPr>
        <w:color w:val="333333"/>
      </w:rPr>
    </w:pPr>
    <w:r>
      <w:rPr>
        <w:color w:val="333333"/>
        <w:sz w:val="20"/>
        <w:szCs w:val="20"/>
      </w:rPr>
      <w:tab/>
      <w:t>Pág.</w:t>
    </w:r>
    <w:r w:rsidR="00656C6F">
      <w:rPr>
        <w:color w:val="333333"/>
      </w:rPr>
      <w:fldChar w:fldCharType="begin"/>
    </w:r>
    <w:r>
      <w:rPr>
        <w:color w:val="333333"/>
      </w:rPr>
      <w:instrText>PAGE</w:instrText>
    </w:r>
    <w:r w:rsidR="00656C6F">
      <w:rPr>
        <w:color w:val="333333"/>
      </w:rPr>
      <w:fldChar w:fldCharType="separate"/>
    </w:r>
    <w:r w:rsidR="00E95CC1">
      <w:rPr>
        <w:noProof/>
        <w:color w:val="333333"/>
      </w:rPr>
      <w:t>3</w:t>
    </w:r>
    <w:r w:rsidR="00656C6F">
      <w:rPr>
        <w:color w:val="333333"/>
      </w:rPr>
      <w:fldChar w:fldCharType="end"/>
    </w:r>
    <w:r>
      <w:rPr>
        <w:color w:val="333333"/>
      </w:rPr>
      <w:t>/</w:t>
    </w:r>
    <w:r w:rsidR="00656C6F">
      <w:rPr>
        <w:color w:val="000000"/>
      </w:rPr>
      <w:fldChar w:fldCharType="begin"/>
    </w:r>
    <w:r>
      <w:rPr>
        <w:color w:val="000000"/>
      </w:rPr>
      <w:instrText>NUMPAGES</w:instrText>
    </w:r>
    <w:r w:rsidR="00656C6F">
      <w:rPr>
        <w:color w:val="000000"/>
      </w:rPr>
      <w:fldChar w:fldCharType="separate"/>
    </w:r>
    <w:r w:rsidR="00E95CC1">
      <w:rPr>
        <w:noProof/>
        <w:color w:val="000000"/>
      </w:rPr>
      <w:t>3</w:t>
    </w:r>
    <w:r w:rsidR="00656C6F">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5A6" w:rsidRDefault="00D855A6" w:rsidP="009C2C6A">
      <w:pPr>
        <w:spacing w:after="0" w:line="240" w:lineRule="auto"/>
      </w:pPr>
      <w:r>
        <w:separator/>
      </w:r>
    </w:p>
  </w:footnote>
  <w:footnote w:type="continuationSeparator" w:id="0">
    <w:p w:rsidR="00D855A6" w:rsidRDefault="00D855A6" w:rsidP="009C2C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C6A" w:rsidRDefault="00344171">
    <w:pPr>
      <w:pStyle w:val="normal0"/>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110491</wp:posOffset>
          </wp:positionH>
          <wp:positionV relativeFrom="paragraph">
            <wp:posOffset>-374014</wp:posOffset>
          </wp:positionV>
          <wp:extent cx="1314450" cy="942340"/>
          <wp:effectExtent l="0" t="0" r="0" b="0"/>
          <wp:wrapSquare wrapText="bothSides" distT="0" distB="0" distL="114300" distR="114300"/>
          <wp:docPr id="3" name="image1.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 nombre de la empresa&#10;&#10;Descripción generada automáticamente"/>
                  <pic:cNvPicPr preferRelativeResize="0"/>
                </pic:nvPicPr>
                <pic:blipFill>
                  <a:blip r:embed="rId1"/>
                  <a:srcRect b="8423"/>
                  <a:stretch>
                    <a:fillRect/>
                  </a:stretch>
                </pic:blipFill>
                <pic:spPr>
                  <a:xfrm>
                    <a:off x="0" y="0"/>
                    <a:ext cx="1314450" cy="942340"/>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9C2C6A"/>
    <w:rsid w:val="00053A41"/>
    <w:rsid w:val="00175001"/>
    <w:rsid w:val="0024125E"/>
    <w:rsid w:val="00344171"/>
    <w:rsid w:val="00370F84"/>
    <w:rsid w:val="004B2D50"/>
    <w:rsid w:val="004E2BD5"/>
    <w:rsid w:val="005E387B"/>
    <w:rsid w:val="00656C6F"/>
    <w:rsid w:val="00665543"/>
    <w:rsid w:val="008249FE"/>
    <w:rsid w:val="009C2C6A"/>
    <w:rsid w:val="00D855A6"/>
    <w:rsid w:val="00E95C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25E"/>
  </w:style>
  <w:style w:type="paragraph" w:styleId="Ttulo1">
    <w:name w:val="heading 1"/>
    <w:basedOn w:val="normal0"/>
    <w:next w:val="normal0"/>
    <w:rsid w:val="009C2C6A"/>
    <w:pPr>
      <w:keepNext/>
      <w:keepLines/>
      <w:spacing w:before="360" w:after="80"/>
      <w:outlineLvl w:val="0"/>
    </w:pPr>
    <w:rPr>
      <w:rFonts w:ascii="Play" w:eastAsia="Play" w:hAnsi="Play" w:cs="Play"/>
      <w:color w:val="0F4761"/>
      <w:sz w:val="40"/>
      <w:szCs w:val="40"/>
    </w:rPr>
  </w:style>
  <w:style w:type="paragraph" w:styleId="Ttulo2">
    <w:name w:val="heading 2"/>
    <w:basedOn w:val="normal0"/>
    <w:next w:val="normal0"/>
    <w:rsid w:val="009C2C6A"/>
    <w:pPr>
      <w:keepNext/>
      <w:keepLines/>
      <w:spacing w:before="160" w:after="80"/>
      <w:outlineLvl w:val="1"/>
    </w:pPr>
    <w:rPr>
      <w:rFonts w:ascii="Play" w:eastAsia="Play" w:hAnsi="Play" w:cs="Play"/>
      <w:color w:val="0F4761"/>
      <w:sz w:val="32"/>
      <w:szCs w:val="32"/>
    </w:rPr>
  </w:style>
  <w:style w:type="paragraph" w:styleId="Ttulo3">
    <w:name w:val="heading 3"/>
    <w:basedOn w:val="normal0"/>
    <w:next w:val="normal0"/>
    <w:rsid w:val="009C2C6A"/>
    <w:pPr>
      <w:keepNext/>
      <w:keepLines/>
      <w:spacing w:before="160" w:after="80"/>
      <w:outlineLvl w:val="2"/>
    </w:pPr>
    <w:rPr>
      <w:color w:val="0F4761"/>
      <w:sz w:val="28"/>
      <w:szCs w:val="28"/>
    </w:rPr>
  </w:style>
  <w:style w:type="paragraph" w:styleId="Ttulo4">
    <w:name w:val="heading 4"/>
    <w:basedOn w:val="normal0"/>
    <w:next w:val="normal0"/>
    <w:rsid w:val="009C2C6A"/>
    <w:pPr>
      <w:keepNext/>
      <w:keepLines/>
      <w:spacing w:before="80" w:after="40"/>
      <w:outlineLvl w:val="3"/>
    </w:pPr>
    <w:rPr>
      <w:i/>
      <w:color w:val="0F4761"/>
    </w:rPr>
  </w:style>
  <w:style w:type="paragraph" w:styleId="Ttulo5">
    <w:name w:val="heading 5"/>
    <w:basedOn w:val="normal0"/>
    <w:next w:val="normal0"/>
    <w:rsid w:val="009C2C6A"/>
    <w:pPr>
      <w:keepNext/>
      <w:keepLines/>
      <w:spacing w:before="80" w:after="40"/>
      <w:outlineLvl w:val="4"/>
    </w:pPr>
    <w:rPr>
      <w:color w:val="0F4761"/>
    </w:rPr>
  </w:style>
  <w:style w:type="paragraph" w:styleId="Ttulo6">
    <w:name w:val="heading 6"/>
    <w:basedOn w:val="normal0"/>
    <w:next w:val="normal0"/>
    <w:rsid w:val="009C2C6A"/>
    <w:pPr>
      <w:keepNext/>
      <w:keepLines/>
      <w:spacing w:before="40" w:after="0"/>
      <w:outlineLvl w:val="5"/>
    </w:pPr>
    <w:rPr>
      <w:i/>
      <w:color w:val="595959"/>
    </w:rPr>
  </w:style>
  <w:style w:type="paragraph" w:styleId="Ttulo7">
    <w:name w:val="heading 7"/>
    <w:basedOn w:val="normal0"/>
    <w:next w:val="normal0"/>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0"/>
    <w:next w:val="normal0"/>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0"/>
    <w:next w:val="normal0"/>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9C2C6A"/>
  </w:style>
  <w:style w:type="table" w:customStyle="1" w:styleId="TableNormal">
    <w:name w:val="TableNormal"/>
    <w:rsid w:val="009C2C6A"/>
    <w:tblPr>
      <w:tblCellMar>
        <w:top w:w="0" w:type="dxa"/>
        <w:left w:w="0" w:type="dxa"/>
        <w:bottom w:w="0" w:type="dxa"/>
        <w:right w:w="0" w:type="dxa"/>
      </w:tblCellMar>
    </w:tblPr>
  </w:style>
  <w:style w:type="paragraph" w:styleId="Ttulo">
    <w:name w:val="Title"/>
    <w:basedOn w:val="normal0"/>
    <w:next w:val="normal0"/>
    <w:rsid w:val="009C2C6A"/>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character" w:customStyle="1" w:styleId="TtuloCar">
    <w:name w:val="Título Car"/>
    <w:basedOn w:val="Fuentedeprrafopredeter"/>
    <w:uiPriority w:val="10"/>
    <w:rsid w:val="00AF636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AF6364"/>
    <w:rPr>
      <w:rFonts w:eastAsiaTheme="majorEastAsia" w:cstheme="majorBidi"/>
      <w:color w:val="595959" w:themeColor="text1" w:themeTint="A6"/>
      <w:spacing w:val="15"/>
      <w:sz w:val="28"/>
      <w:szCs w:val="28"/>
    </w:rPr>
  </w:style>
  <w:style w:type="paragraph" w:styleId="Cita">
    <w:name w:val="Quote"/>
    <w:basedOn w:val="normal0"/>
    <w:next w:val="normal0"/>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0"/>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0"/>
    <w:next w:val="normal0"/>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0"/>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0"/>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F84CE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
    <w:rsid w:val="00BF5712"/>
    <w:pPr>
      <w:tabs>
        <w:tab w:val="left" w:pos="842"/>
      </w:tabs>
      <w:spacing w:after="120" w:line="300" w:lineRule="auto"/>
      <w:ind w:firstLine="850"/>
      <w:jc w:val="both"/>
    </w:pPr>
    <w:rPr>
      <w:rFonts w:ascii="Montserrat" w:eastAsia="Montserrat" w:hAnsi="Montserrat" w:cs="Montserrat"/>
      <w:sz w:val="19"/>
      <w:szCs w:val="19"/>
      <w:highlight w:val="white"/>
    </w:rPr>
  </w:style>
  <w:style w:type="paragraph" w:styleId="Subttulo">
    <w:name w:val="Subtitle"/>
    <w:basedOn w:val="normal0"/>
    <w:next w:val="normal0"/>
    <w:rsid w:val="009C2C6A"/>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zrQ0OWEy9oiw39dNmzlQSDNbpQ==">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</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B351E9-2559-4D1F-AC75-19B18521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866</Words>
  <Characters>4764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mahearne</dc:creator>
  <cp:lastModifiedBy>mahearne</cp:lastModifiedBy>
  <cp:revision>8</cp:revision>
  <cp:lastPrinted>2025-09-08T15:00:00Z</cp:lastPrinted>
  <dcterms:created xsi:type="dcterms:W3CDTF">2025-08-06T17:24:00Z</dcterms:created>
  <dcterms:modified xsi:type="dcterms:W3CDTF">2025-09-08T15:02:00Z</dcterms:modified>
</cp:coreProperties>
</file>