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28" w:rsidRPr="00B65559" w:rsidRDefault="00133444" w:rsidP="00B65559">
      <w:pPr>
        <w:jc w:val="center"/>
        <w:rPr>
          <w:b/>
          <w:lang w:val="es-MX"/>
        </w:rPr>
      </w:pPr>
      <w:r w:rsidRPr="00B65559">
        <w:rPr>
          <w:b/>
          <w:lang w:val="es-MX"/>
        </w:rPr>
        <w:t>EXPEDIENTE Nro. 2628-J-2025</w:t>
      </w:r>
    </w:p>
    <w:p w:rsidR="00701F28" w:rsidRPr="00B65559" w:rsidRDefault="00701F28" w:rsidP="00B65559">
      <w:pPr>
        <w:rPr>
          <w:lang w:val="es-MX"/>
        </w:rPr>
      </w:pPr>
    </w:p>
    <w:p w:rsidR="00701F28" w:rsidRPr="00B65559" w:rsidRDefault="00701F28" w:rsidP="00B65559">
      <w:pPr>
        <w:rPr>
          <w:lang w:val="es-MX"/>
        </w:rPr>
      </w:pPr>
      <w:r w:rsidRPr="00B65559">
        <w:rPr>
          <w:lang w:val="es-MX"/>
        </w:rPr>
        <w:t>Legislatura de la Ciudad Autónoma de Buenos Aires</w:t>
      </w:r>
    </w:p>
    <w:p w:rsidR="00701F28" w:rsidRPr="00B65559" w:rsidRDefault="00701F28" w:rsidP="00B65559">
      <w:pPr>
        <w:rPr>
          <w:lang w:val="es-MX"/>
        </w:rPr>
      </w:pPr>
    </w:p>
    <w:p w:rsidR="00701F28" w:rsidRPr="00B65559" w:rsidRDefault="00701F28" w:rsidP="00B65559">
      <w:pPr>
        <w:rPr>
          <w:lang w:val="es-MX"/>
        </w:rPr>
      </w:pPr>
      <w:r w:rsidRPr="00B65559">
        <w:rPr>
          <w:lang w:val="es-MX"/>
        </w:rPr>
        <w:t>Visto:</w:t>
      </w:r>
    </w:p>
    <w:p w:rsidR="00701F28" w:rsidRPr="00B65559" w:rsidRDefault="00701F28" w:rsidP="00B65559">
      <w:pPr>
        <w:rPr>
          <w:lang w:val="es-MX"/>
        </w:rPr>
      </w:pPr>
    </w:p>
    <w:p w:rsidR="00701F28" w:rsidRPr="00B65559" w:rsidRDefault="00133444" w:rsidP="00B65559">
      <w:pPr>
        <w:rPr>
          <w:lang w:val="es-MX"/>
        </w:rPr>
      </w:pPr>
      <w:r w:rsidRPr="00B65559">
        <w:rPr>
          <w:lang w:val="es-MX"/>
        </w:rPr>
        <w:tab/>
        <w:t xml:space="preserve">El </w:t>
      </w:r>
      <w:r w:rsidR="0055367B" w:rsidRPr="00B65559">
        <w:rPr>
          <w:lang w:val="es-MX"/>
        </w:rPr>
        <w:t>Expediente</w:t>
      </w:r>
      <w:r w:rsidRPr="00B65559">
        <w:rPr>
          <w:lang w:val="es-MX"/>
        </w:rPr>
        <w:t xml:space="preserve"> Nro. 2628-J-2025, iniciado por el señor Jefe de Gobierno, en el cual propone una </w:t>
      </w:r>
      <w:r w:rsidR="0055367B" w:rsidRPr="00B65559">
        <w:rPr>
          <w:lang w:val="es-MX"/>
        </w:rPr>
        <w:t>ampliación</w:t>
      </w:r>
      <w:r w:rsidRPr="00B65559">
        <w:rPr>
          <w:lang w:val="es-MX"/>
        </w:rPr>
        <w:t xml:space="preserve"> del Presupuesto para el Ejercicio 2025 </w:t>
      </w:r>
      <w:r w:rsidR="0055367B" w:rsidRPr="00B65559">
        <w:rPr>
          <w:lang w:val="es-MX"/>
        </w:rPr>
        <w:t>y,</w:t>
      </w:r>
    </w:p>
    <w:p w:rsidR="00133444" w:rsidRPr="00B65559" w:rsidRDefault="00133444" w:rsidP="00B65559">
      <w:pPr>
        <w:rPr>
          <w:lang w:val="es-MX"/>
        </w:rPr>
      </w:pPr>
    </w:p>
    <w:p w:rsidR="00701F28" w:rsidRPr="00B65559" w:rsidRDefault="00701F28" w:rsidP="00B65559">
      <w:pPr>
        <w:rPr>
          <w:lang w:val="es-MX"/>
        </w:rPr>
      </w:pPr>
    </w:p>
    <w:p w:rsidR="00701F28" w:rsidRPr="00B65559" w:rsidRDefault="00701F28" w:rsidP="00B65559">
      <w:pPr>
        <w:rPr>
          <w:lang w:val="es-MX"/>
        </w:rPr>
      </w:pPr>
      <w:r w:rsidRPr="00B65559">
        <w:rPr>
          <w:lang w:val="es-MX"/>
        </w:rPr>
        <w:t>Considerando:</w:t>
      </w:r>
    </w:p>
    <w:p w:rsidR="00701F28" w:rsidRPr="00B65559" w:rsidRDefault="00701F28" w:rsidP="00B65559">
      <w:pPr>
        <w:rPr>
          <w:lang w:val="es-MX"/>
        </w:rPr>
      </w:pPr>
    </w:p>
    <w:p w:rsidR="003313F6" w:rsidRPr="00B65559" w:rsidRDefault="009D40F3" w:rsidP="00B65559">
      <w:pPr>
        <w:autoSpaceDE w:val="0"/>
        <w:autoSpaceDN w:val="0"/>
        <w:adjustRightInd w:val="0"/>
        <w:rPr>
          <w:szCs w:val="23"/>
          <w:lang w:val="es-ES"/>
        </w:rPr>
      </w:pPr>
      <w:r w:rsidRPr="00B65559">
        <w:rPr>
          <w:lang w:val="es-MX"/>
        </w:rPr>
        <w:tab/>
      </w:r>
      <w:r w:rsidR="00133444" w:rsidRPr="00B65559">
        <w:rPr>
          <w:lang w:val="es-MX"/>
        </w:rPr>
        <w:t xml:space="preserve">Que llega a este </w:t>
      </w:r>
      <w:r w:rsidR="003313F6" w:rsidRPr="00B65559">
        <w:rPr>
          <w:szCs w:val="23"/>
          <w:lang w:val="es-ES"/>
        </w:rPr>
        <w:t xml:space="preserve"> Cuerpo Legislativo un proyecto de ley por el cual se propicia introducir modificaciones al Presupuesto de la Administración Gubernamental del Gobierno de la Ciudad</w:t>
      </w:r>
      <w:r w:rsidR="00133444" w:rsidRPr="00B65559">
        <w:rPr>
          <w:szCs w:val="23"/>
          <w:lang w:val="es-ES"/>
        </w:rPr>
        <w:t xml:space="preserve"> </w:t>
      </w:r>
      <w:r w:rsidR="003313F6" w:rsidRPr="00B65559">
        <w:rPr>
          <w:szCs w:val="23"/>
          <w:lang w:val="es-ES"/>
        </w:rPr>
        <w:t>Autónoma de Buenos Aires para el ejercicio 2025, aprobado mediante la Ley 6.804, conforme al detalle que obra en las planillas que como Anexo se adjuntan al proyecto.</w:t>
      </w:r>
    </w:p>
    <w:p w:rsidR="003313F6" w:rsidRPr="00B65559" w:rsidRDefault="003313F6" w:rsidP="00B65559">
      <w:pPr>
        <w:autoSpaceDE w:val="0"/>
        <w:autoSpaceDN w:val="0"/>
        <w:adjustRightInd w:val="0"/>
        <w:rPr>
          <w:szCs w:val="23"/>
          <w:lang w:val="es-ES"/>
        </w:rPr>
      </w:pPr>
    </w:p>
    <w:p w:rsidR="003313F6" w:rsidRPr="00B65559" w:rsidRDefault="00133444" w:rsidP="00B65559">
      <w:pPr>
        <w:autoSpaceDE w:val="0"/>
        <w:autoSpaceDN w:val="0"/>
        <w:adjustRightInd w:val="0"/>
        <w:ind w:firstLine="708"/>
        <w:rPr>
          <w:szCs w:val="23"/>
          <w:lang w:val="es-ES"/>
        </w:rPr>
      </w:pPr>
      <w:r w:rsidRPr="00B65559">
        <w:rPr>
          <w:szCs w:val="23"/>
          <w:lang w:val="es-ES"/>
        </w:rPr>
        <w:t>Que l</w:t>
      </w:r>
      <w:r w:rsidR="003313F6" w:rsidRPr="00B65559">
        <w:rPr>
          <w:szCs w:val="23"/>
          <w:lang w:val="es-ES"/>
        </w:rPr>
        <w:t>as modificaciones crediticias que s</w:t>
      </w:r>
      <w:r w:rsidRPr="00B65559">
        <w:rPr>
          <w:szCs w:val="23"/>
          <w:lang w:val="es-ES"/>
        </w:rPr>
        <w:t xml:space="preserve">e promueven </w:t>
      </w:r>
      <w:r w:rsidR="003313F6" w:rsidRPr="00B65559">
        <w:rPr>
          <w:szCs w:val="23"/>
          <w:lang w:val="es-ES"/>
        </w:rPr>
        <w:t>por un total de $557.363.522.154) se encuentran comprendidas en los términos del artículo 63 de la Ley 70 de Sistemas de Gestión, Administración Financiera y Control del Sector Público de la Ciudad, por lo que se requiere, a los fines arriba indicados, la autorización de ese Cuerpo Legislativo.</w:t>
      </w:r>
    </w:p>
    <w:p w:rsidR="003313F6" w:rsidRPr="00B65559" w:rsidRDefault="003313F6" w:rsidP="00B65559">
      <w:pPr>
        <w:autoSpaceDE w:val="0"/>
        <w:autoSpaceDN w:val="0"/>
        <w:adjustRightInd w:val="0"/>
        <w:rPr>
          <w:szCs w:val="23"/>
          <w:lang w:val="es-ES"/>
        </w:rPr>
      </w:pPr>
    </w:p>
    <w:p w:rsidR="003313F6" w:rsidRPr="00B65559" w:rsidRDefault="00133444" w:rsidP="00B65559">
      <w:pPr>
        <w:autoSpaceDE w:val="0"/>
        <w:autoSpaceDN w:val="0"/>
        <w:adjustRightInd w:val="0"/>
        <w:ind w:firstLine="708"/>
        <w:rPr>
          <w:szCs w:val="23"/>
          <w:lang w:val="es-ES"/>
        </w:rPr>
      </w:pPr>
      <w:r w:rsidRPr="00B65559">
        <w:rPr>
          <w:szCs w:val="23"/>
          <w:lang w:val="es-ES"/>
        </w:rPr>
        <w:t>Que e</w:t>
      </w:r>
      <w:r w:rsidR="003313F6" w:rsidRPr="00B65559">
        <w:rPr>
          <w:szCs w:val="23"/>
          <w:lang w:val="es-ES"/>
        </w:rPr>
        <w:t xml:space="preserve">l proyecto de ley que se propicia propone una ampliación en la estimación de los recursos y los créditos presupuestarios en virtud de la evolución de la inflación y su proyección para el resto del año, lo que resulta en un incremento sobre la expectativa original. </w:t>
      </w:r>
    </w:p>
    <w:p w:rsidR="003313F6" w:rsidRPr="00B65559" w:rsidRDefault="003313F6" w:rsidP="00B65559">
      <w:pPr>
        <w:autoSpaceDE w:val="0"/>
        <w:autoSpaceDN w:val="0"/>
        <w:adjustRightInd w:val="0"/>
        <w:rPr>
          <w:szCs w:val="23"/>
          <w:lang w:val="es-ES"/>
        </w:rPr>
      </w:pPr>
    </w:p>
    <w:p w:rsidR="003313F6" w:rsidRPr="00B65559" w:rsidRDefault="00133444" w:rsidP="00B65559">
      <w:pPr>
        <w:autoSpaceDE w:val="0"/>
        <w:autoSpaceDN w:val="0"/>
        <w:adjustRightInd w:val="0"/>
        <w:ind w:firstLine="708"/>
        <w:rPr>
          <w:szCs w:val="23"/>
          <w:lang w:val="es-ES"/>
        </w:rPr>
      </w:pPr>
      <w:r w:rsidRPr="00B65559">
        <w:rPr>
          <w:szCs w:val="23"/>
          <w:lang w:val="es-ES"/>
        </w:rPr>
        <w:t>Que e</w:t>
      </w:r>
      <w:r w:rsidR="003313F6" w:rsidRPr="00B65559">
        <w:rPr>
          <w:szCs w:val="23"/>
          <w:lang w:val="es-ES"/>
        </w:rPr>
        <w:t>n ese sentido, se propone ampliar en $93.986.308.793 los créditos asociados al gasto en personal de la Ciudad. Esta mayor erogación tiene su origen en el impacto de la inflación anual estimada sobre los acuerdos paritarios.</w:t>
      </w:r>
    </w:p>
    <w:p w:rsidR="003313F6" w:rsidRPr="00B65559" w:rsidRDefault="003313F6" w:rsidP="00B65559">
      <w:pPr>
        <w:autoSpaceDE w:val="0"/>
        <w:autoSpaceDN w:val="0"/>
        <w:adjustRightInd w:val="0"/>
        <w:rPr>
          <w:szCs w:val="23"/>
          <w:lang w:val="es-ES"/>
        </w:rPr>
      </w:pPr>
    </w:p>
    <w:p w:rsidR="003313F6" w:rsidRPr="00B65559" w:rsidRDefault="00133444" w:rsidP="00B65559">
      <w:pPr>
        <w:autoSpaceDE w:val="0"/>
        <w:autoSpaceDN w:val="0"/>
        <w:adjustRightInd w:val="0"/>
        <w:ind w:firstLine="708"/>
        <w:rPr>
          <w:szCs w:val="23"/>
          <w:lang w:val="es-ES"/>
        </w:rPr>
      </w:pPr>
      <w:r w:rsidRPr="00B65559">
        <w:rPr>
          <w:szCs w:val="23"/>
          <w:lang w:val="es-ES"/>
        </w:rPr>
        <w:t>Que p</w:t>
      </w:r>
      <w:r w:rsidR="003313F6" w:rsidRPr="00B65559">
        <w:rPr>
          <w:szCs w:val="23"/>
          <w:lang w:val="es-ES"/>
        </w:rPr>
        <w:t>or otra parte, en concepto de bienes de consumo, es necesario incorporar al presupuesto $53.510.362.434 destinados, principalmente, a la adquisición de medicamentos e insumos para el sistema de Salud y a otras erogaciones relativas a la seguridad pública.</w:t>
      </w:r>
    </w:p>
    <w:p w:rsidR="003313F6" w:rsidRPr="00B65559" w:rsidRDefault="003313F6" w:rsidP="00B65559">
      <w:pPr>
        <w:autoSpaceDE w:val="0"/>
        <w:autoSpaceDN w:val="0"/>
        <w:adjustRightInd w:val="0"/>
        <w:rPr>
          <w:szCs w:val="23"/>
          <w:lang w:val="es-ES"/>
        </w:rPr>
      </w:pPr>
    </w:p>
    <w:p w:rsidR="003313F6" w:rsidRPr="00B65559" w:rsidRDefault="00133444" w:rsidP="00B65559">
      <w:pPr>
        <w:autoSpaceDE w:val="0"/>
        <w:autoSpaceDN w:val="0"/>
        <w:adjustRightInd w:val="0"/>
        <w:ind w:firstLine="708"/>
        <w:rPr>
          <w:szCs w:val="23"/>
          <w:lang w:val="es-ES"/>
        </w:rPr>
      </w:pPr>
      <w:r w:rsidRPr="00B65559">
        <w:rPr>
          <w:szCs w:val="23"/>
          <w:lang w:val="es-ES"/>
        </w:rPr>
        <w:t>Que e</w:t>
      </w:r>
      <w:r w:rsidR="003313F6" w:rsidRPr="00B65559">
        <w:rPr>
          <w:szCs w:val="23"/>
          <w:lang w:val="es-ES"/>
        </w:rPr>
        <w:t xml:space="preserve">n cuanto a los servicios no personales, se propone incorporar $154.343.608.139 originados, fundamentalmente, en el refuerzo de los créditos destinados a la recolección de residuos, el servicio de alumbrado público y </w:t>
      </w:r>
      <w:proofErr w:type="spellStart"/>
      <w:r w:rsidR="003313F6" w:rsidRPr="00B65559">
        <w:rPr>
          <w:szCs w:val="23"/>
          <w:lang w:val="es-ES"/>
        </w:rPr>
        <w:t>señalética</w:t>
      </w:r>
      <w:proofErr w:type="spellEnd"/>
      <w:r w:rsidR="003313F6" w:rsidRPr="00B65559">
        <w:rPr>
          <w:szCs w:val="23"/>
          <w:lang w:val="es-ES"/>
        </w:rPr>
        <w:t xml:space="preserve"> y otras erogaciones relativas a la radiocomunicación móvil del sistema de seguridad pública.</w:t>
      </w:r>
    </w:p>
    <w:p w:rsidR="003313F6" w:rsidRPr="00B65559" w:rsidRDefault="003313F6" w:rsidP="00B65559">
      <w:pPr>
        <w:autoSpaceDE w:val="0"/>
        <w:autoSpaceDN w:val="0"/>
        <w:adjustRightInd w:val="0"/>
        <w:rPr>
          <w:szCs w:val="23"/>
          <w:lang w:val="es-ES"/>
        </w:rPr>
      </w:pPr>
    </w:p>
    <w:p w:rsidR="003313F6" w:rsidRPr="00B65559" w:rsidRDefault="00133444" w:rsidP="00B65559">
      <w:pPr>
        <w:autoSpaceDE w:val="0"/>
        <w:autoSpaceDN w:val="0"/>
        <w:adjustRightInd w:val="0"/>
        <w:ind w:firstLine="708"/>
        <w:rPr>
          <w:szCs w:val="23"/>
          <w:lang w:val="es-ES"/>
        </w:rPr>
      </w:pPr>
      <w:r w:rsidRPr="00B65559">
        <w:rPr>
          <w:szCs w:val="23"/>
          <w:lang w:val="es-ES"/>
        </w:rPr>
        <w:t>Que r</w:t>
      </w:r>
      <w:r w:rsidR="003313F6" w:rsidRPr="00B65559">
        <w:rPr>
          <w:szCs w:val="23"/>
          <w:lang w:val="es-ES"/>
        </w:rPr>
        <w:t>especto a los bienes de uso, se incluye una ampliación de $56.960.404.340 para atender los requerimientos de inversión. Ello con el objetivo de reforzar, principalmente, las erogaciones destinadas a la puesta en valor del espacio público, a través de la pavimentación y bacheo, y el equipamiento para la seguridad pública.</w:t>
      </w:r>
    </w:p>
    <w:p w:rsidR="003313F6" w:rsidRPr="00B65559" w:rsidRDefault="003313F6" w:rsidP="00B65559">
      <w:pPr>
        <w:autoSpaceDE w:val="0"/>
        <w:autoSpaceDN w:val="0"/>
        <w:adjustRightInd w:val="0"/>
        <w:rPr>
          <w:szCs w:val="23"/>
          <w:lang w:val="es-ES"/>
        </w:rPr>
      </w:pPr>
    </w:p>
    <w:p w:rsidR="003313F6" w:rsidRPr="00B65559" w:rsidRDefault="00F41395" w:rsidP="00B65559">
      <w:pPr>
        <w:autoSpaceDE w:val="0"/>
        <w:autoSpaceDN w:val="0"/>
        <w:adjustRightInd w:val="0"/>
        <w:ind w:firstLine="708"/>
        <w:rPr>
          <w:szCs w:val="23"/>
          <w:lang w:val="es-ES"/>
        </w:rPr>
      </w:pPr>
      <w:r w:rsidRPr="00B65559">
        <w:rPr>
          <w:szCs w:val="23"/>
          <w:lang w:val="es-ES"/>
        </w:rPr>
        <w:t>Que p</w:t>
      </w:r>
      <w:r w:rsidR="003313F6" w:rsidRPr="00B65559">
        <w:rPr>
          <w:szCs w:val="23"/>
          <w:lang w:val="es-ES"/>
        </w:rPr>
        <w:t xml:space="preserve">or su parte, se contempla el acrecentamiento de las transferencias por $88.642.801.197. </w:t>
      </w:r>
    </w:p>
    <w:p w:rsidR="003313F6" w:rsidRPr="00B65559" w:rsidRDefault="003313F6" w:rsidP="00B65559">
      <w:pPr>
        <w:autoSpaceDE w:val="0"/>
        <w:autoSpaceDN w:val="0"/>
        <w:adjustRightInd w:val="0"/>
        <w:rPr>
          <w:szCs w:val="23"/>
          <w:lang w:val="es-ES"/>
        </w:rPr>
      </w:pPr>
    </w:p>
    <w:p w:rsidR="003313F6" w:rsidRPr="00B65559" w:rsidRDefault="00E70CDC" w:rsidP="00B65559">
      <w:pPr>
        <w:autoSpaceDE w:val="0"/>
        <w:autoSpaceDN w:val="0"/>
        <w:adjustRightInd w:val="0"/>
        <w:ind w:firstLine="708"/>
        <w:rPr>
          <w:szCs w:val="23"/>
          <w:lang w:val="es-ES"/>
        </w:rPr>
      </w:pPr>
      <w:r w:rsidRPr="00B65559">
        <w:rPr>
          <w:szCs w:val="23"/>
          <w:lang w:val="es-ES"/>
        </w:rPr>
        <w:t>Que e</w:t>
      </w:r>
      <w:r w:rsidR="003313F6" w:rsidRPr="00B65559">
        <w:rPr>
          <w:szCs w:val="23"/>
          <w:lang w:val="es-ES"/>
        </w:rPr>
        <w:t>stas mayores erogaciones corresponden, en su totalidad, a las transferencias de capital hacia la empresa Subterráneos de Buenos Aires Sociedad del Estado (SBASE).</w:t>
      </w:r>
    </w:p>
    <w:p w:rsidR="003313F6" w:rsidRPr="00B65559" w:rsidRDefault="003313F6" w:rsidP="00B65559">
      <w:pPr>
        <w:autoSpaceDE w:val="0"/>
        <w:autoSpaceDN w:val="0"/>
        <w:adjustRightInd w:val="0"/>
        <w:rPr>
          <w:szCs w:val="23"/>
          <w:lang w:val="es-ES"/>
        </w:rPr>
      </w:pPr>
    </w:p>
    <w:p w:rsidR="003313F6" w:rsidRPr="00B65559" w:rsidRDefault="00E70CDC" w:rsidP="00B65559">
      <w:pPr>
        <w:autoSpaceDE w:val="0"/>
        <w:autoSpaceDN w:val="0"/>
        <w:adjustRightInd w:val="0"/>
        <w:ind w:firstLine="708"/>
        <w:rPr>
          <w:szCs w:val="23"/>
          <w:lang w:val="es-ES"/>
        </w:rPr>
      </w:pPr>
      <w:r w:rsidRPr="00B65559">
        <w:rPr>
          <w:szCs w:val="23"/>
          <w:lang w:val="es-ES"/>
        </w:rPr>
        <w:t>Que d</w:t>
      </w:r>
      <w:r w:rsidR="003313F6" w:rsidRPr="00B65559">
        <w:rPr>
          <w:szCs w:val="23"/>
          <w:lang w:val="es-ES"/>
        </w:rPr>
        <w:t>el mismo modo, se prevé el aumento de activos financieros por $109.920.037.251 correspondiente al aporte de capital a la Coordinación Ecológica Área Metropolitana Sociedad del Estado (CEAMSE).</w:t>
      </w:r>
    </w:p>
    <w:p w:rsidR="003313F6" w:rsidRPr="00B65559" w:rsidRDefault="003313F6" w:rsidP="00B65559">
      <w:pPr>
        <w:autoSpaceDE w:val="0"/>
        <w:autoSpaceDN w:val="0"/>
        <w:adjustRightInd w:val="0"/>
        <w:rPr>
          <w:szCs w:val="23"/>
          <w:lang w:val="es-ES"/>
        </w:rPr>
      </w:pPr>
    </w:p>
    <w:p w:rsidR="003313F6" w:rsidRPr="00B65559" w:rsidRDefault="00E70CDC" w:rsidP="00B65559">
      <w:pPr>
        <w:autoSpaceDE w:val="0"/>
        <w:autoSpaceDN w:val="0"/>
        <w:adjustRightInd w:val="0"/>
        <w:ind w:firstLine="708"/>
        <w:rPr>
          <w:szCs w:val="23"/>
          <w:lang w:val="es-ES"/>
        </w:rPr>
      </w:pPr>
      <w:r w:rsidRPr="00B65559">
        <w:rPr>
          <w:szCs w:val="23"/>
          <w:lang w:val="es-ES"/>
        </w:rPr>
        <w:t>Que e</w:t>
      </w:r>
      <w:r w:rsidR="003313F6" w:rsidRPr="00B65559">
        <w:rPr>
          <w:szCs w:val="23"/>
          <w:lang w:val="es-ES"/>
        </w:rPr>
        <w:t xml:space="preserve">n consideración de lo anterior, con el fin de dar solución a los potenciales problemas crediticios que puedan suscitarse en el corto plazo, pero sin afectar la sustentabilidad de las cuentas públicas, se estima pertinente incorporar al Cálculo de Recursos </w:t>
      </w:r>
      <w:r w:rsidR="003313F6" w:rsidRPr="00B65559">
        <w:rPr>
          <w:szCs w:val="23"/>
          <w:lang w:val="es-ES"/>
        </w:rPr>
        <w:lastRenderedPageBreak/>
        <w:t>$557.363.522.154 provenientes principalmente de la estimación del incremento de la recaudación tributaria, no tributaria y de fuentes financieras.</w:t>
      </w:r>
    </w:p>
    <w:p w:rsidR="003313F6" w:rsidRPr="00B65559" w:rsidRDefault="003313F6" w:rsidP="00B65559">
      <w:pPr>
        <w:autoSpaceDE w:val="0"/>
        <w:autoSpaceDN w:val="0"/>
        <w:adjustRightInd w:val="0"/>
        <w:rPr>
          <w:szCs w:val="23"/>
          <w:lang w:val="es-ES"/>
        </w:rPr>
      </w:pPr>
    </w:p>
    <w:p w:rsidR="003313F6" w:rsidRPr="00B65559" w:rsidRDefault="00E70CDC" w:rsidP="00B65559">
      <w:pPr>
        <w:autoSpaceDE w:val="0"/>
        <w:autoSpaceDN w:val="0"/>
        <w:adjustRightInd w:val="0"/>
        <w:ind w:firstLine="708"/>
        <w:rPr>
          <w:szCs w:val="23"/>
          <w:lang w:val="es-ES"/>
        </w:rPr>
      </w:pPr>
      <w:r w:rsidRPr="00B65559">
        <w:rPr>
          <w:szCs w:val="23"/>
          <w:lang w:val="es-ES"/>
        </w:rPr>
        <w:t>Que e</w:t>
      </w:r>
      <w:r w:rsidR="003313F6" w:rsidRPr="00B65559">
        <w:rPr>
          <w:szCs w:val="23"/>
          <w:lang w:val="es-ES"/>
        </w:rPr>
        <w:t xml:space="preserve">n cuanto a los recursos tributarios, se prevé incorporar $361.570.479.452 originados en la recaudación impositiva local y se proyecta la disminución de $1.349.300.260.175 en concepto de coparticipación federal, como consecuencia de la reclasificación como transferencias corrientes de los ingresos provenientes del Acuerdo entre el Gobierno de la Ciudad Autónoma de Buenos Aires y el Estado Nacional, suscripto el 26 de septiembre de 2024, en cumplimiento del fallo de la Corte Suprema de Justicia de la Nación, del 21 diciembre de 2022, en el marco de la causa “Gobierno de la Ciudad de Buenos Aires c/ Estado Nacional s/ acción declarativa de inconstitucionalidad - cobro de pesos” (CSJ 1865/2020). </w:t>
      </w:r>
    </w:p>
    <w:p w:rsidR="003313F6" w:rsidRPr="00B65559" w:rsidRDefault="003313F6" w:rsidP="00B65559">
      <w:pPr>
        <w:autoSpaceDE w:val="0"/>
        <w:autoSpaceDN w:val="0"/>
        <w:adjustRightInd w:val="0"/>
        <w:rPr>
          <w:szCs w:val="23"/>
          <w:lang w:val="es-ES"/>
        </w:rPr>
      </w:pPr>
    </w:p>
    <w:p w:rsidR="003313F6" w:rsidRPr="00B65559" w:rsidRDefault="00E70CDC" w:rsidP="00B65559">
      <w:pPr>
        <w:autoSpaceDE w:val="0"/>
        <w:autoSpaceDN w:val="0"/>
        <w:adjustRightInd w:val="0"/>
        <w:ind w:firstLine="708"/>
        <w:rPr>
          <w:szCs w:val="23"/>
          <w:lang w:val="es-ES"/>
        </w:rPr>
      </w:pPr>
      <w:r w:rsidRPr="00B65559">
        <w:rPr>
          <w:szCs w:val="23"/>
          <w:lang w:val="es-ES"/>
        </w:rPr>
        <w:t>Que l</w:t>
      </w:r>
      <w:r w:rsidR="003313F6" w:rsidRPr="00B65559">
        <w:rPr>
          <w:szCs w:val="23"/>
          <w:lang w:val="es-ES"/>
        </w:rPr>
        <w:t>os mayores ingresos que se proponen en concepto de recursos tributarios propios se componen de</w:t>
      </w:r>
      <w:r w:rsidR="001C64D5" w:rsidRPr="00B65559">
        <w:rPr>
          <w:szCs w:val="23"/>
          <w:lang w:val="es-ES"/>
        </w:rPr>
        <w:t xml:space="preserve"> </w:t>
      </w:r>
      <w:r w:rsidR="003313F6" w:rsidRPr="00B65559">
        <w:rPr>
          <w:szCs w:val="23"/>
          <w:lang w:val="es-ES"/>
        </w:rPr>
        <w:t>$254.592.175.074 del Impuesto sobre los Ingresos Brutos, $62.759.304.033 del Impuesto de Sellos,</w:t>
      </w:r>
      <w:r w:rsidR="001C64D5" w:rsidRPr="00B65559">
        <w:rPr>
          <w:szCs w:val="23"/>
          <w:lang w:val="es-ES"/>
        </w:rPr>
        <w:t xml:space="preserve"> </w:t>
      </w:r>
      <w:r w:rsidR="003313F6" w:rsidRPr="00B65559">
        <w:rPr>
          <w:szCs w:val="23"/>
          <w:lang w:val="es-ES"/>
        </w:rPr>
        <w:t>$32.811.116.663 de contribuciones sobre inmuebles y $11.407.883.682 de la contribución a cargo de las compañías</w:t>
      </w:r>
      <w:r w:rsidR="001C64D5" w:rsidRPr="00B65559">
        <w:rPr>
          <w:szCs w:val="23"/>
          <w:lang w:val="es-ES"/>
        </w:rPr>
        <w:t xml:space="preserve"> </w:t>
      </w:r>
      <w:r w:rsidR="003313F6" w:rsidRPr="00B65559">
        <w:rPr>
          <w:szCs w:val="23"/>
          <w:lang w:val="es-ES"/>
        </w:rPr>
        <w:t>de electricidad.</w:t>
      </w:r>
    </w:p>
    <w:p w:rsidR="001C64D5" w:rsidRPr="00B65559" w:rsidRDefault="001C64D5" w:rsidP="00B65559">
      <w:pPr>
        <w:autoSpaceDE w:val="0"/>
        <w:autoSpaceDN w:val="0"/>
        <w:adjustRightInd w:val="0"/>
        <w:rPr>
          <w:szCs w:val="23"/>
          <w:lang w:val="es-ES"/>
        </w:rPr>
      </w:pPr>
    </w:p>
    <w:p w:rsidR="003313F6" w:rsidRPr="00B65559" w:rsidRDefault="00E70CDC" w:rsidP="00B65559">
      <w:pPr>
        <w:autoSpaceDE w:val="0"/>
        <w:autoSpaceDN w:val="0"/>
        <w:adjustRightInd w:val="0"/>
        <w:ind w:firstLine="708"/>
        <w:rPr>
          <w:szCs w:val="23"/>
          <w:lang w:val="es-ES"/>
        </w:rPr>
      </w:pPr>
      <w:r w:rsidRPr="00B65559">
        <w:rPr>
          <w:szCs w:val="23"/>
          <w:lang w:val="es-ES"/>
        </w:rPr>
        <w:t>Que e</w:t>
      </w:r>
      <w:r w:rsidR="003313F6" w:rsidRPr="00B65559">
        <w:rPr>
          <w:szCs w:val="23"/>
          <w:lang w:val="es-ES"/>
        </w:rPr>
        <w:t xml:space="preserve">n concepto de recursos no tributarios, se incluyen $11.423.461.418 </w:t>
      </w:r>
      <w:proofErr w:type="gramStart"/>
      <w:r w:rsidR="003313F6" w:rsidRPr="00B65559">
        <w:rPr>
          <w:szCs w:val="23"/>
          <w:lang w:val="es-ES"/>
        </w:rPr>
        <w:t>provenientes</w:t>
      </w:r>
      <w:proofErr w:type="gramEnd"/>
      <w:r w:rsidR="003313F6" w:rsidRPr="00B65559">
        <w:rPr>
          <w:szCs w:val="23"/>
          <w:lang w:val="es-ES"/>
        </w:rPr>
        <w:t xml:space="preserve"> del cobro de multas</w:t>
      </w:r>
      <w:r w:rsidR="001C64D5" w:rsidRPr="00B65559">
        <w:rPr>
          <w:szCs w:val="23"/>
          <w:lang w:val="es-ES"/>
        </w:rPr>
        <w:t xml:space="preserve"> </w:t>
      </w:r>
      <w:r w:rsidR="003313F6" w:rsidRPr="00B65559">
        <w:rPr>
          <w:szCs w:val="23"/>
          <w:lang w:val="es-ES"/>
        </w:rPr>
        <w:t>por infracciones varias y, por servicios ofrecidos por la Administración Pública, $11.873.573.040 provenientes del</w:t>
      </w:r>
      <w:r w:rsidR="001C64D5" w:rsidRPr="00B65559">
        <w:rPr>
          <w:szCs w:val="23"/>
          <w:lang w:val="es-ES"/>
        </w:rPr>
        <w:t xml:space="preserve"> </w:t>
      </w:r>
      <w:r w:rsidR="003313F6" w:rsidRPr="00B65559">
        <w:rPr>
          <w:szCs w:val="23"/>
          <w:lang w:val="es-ES"/>
        </w:rPr>
        <w:t>cobro de servicios de Policía Complementaria.</w:t>
      </w:r>
    </w:p>
    <w:p w:rsidR="001C64D5" w:rsidRPr="00B65559" w:rsidRDefault="001C64D5" w:rsidP="00B65559">
      <w:pPr>
        <w:autoSpaceDE w:val="0"/>
        <w:autoSpaceDN w:val="0"/>
        <w:adjustRightInd w:val="0"/>
        <w:rPr>
          <w:szCs w:val="23"/>
          <w:lang w:val="es-ES"/>
        </w:rPr>
      </w:pPr>
    </w:p>
    <w:p w:rsidR="003313F6" w:rsidRPr="00B65559" w:rsidRDefault="00E70CDC" w:rsidP="00B65559">
      <w:pPr>
        <w:autoSpaceDE w:val="0"/>
        <w:autoSpaceDN w:val="0"/>
        <w:adjustRightInd w:val="0"/>
        <w:ind w:firstLine="708"/>
        <w:rPr>
          <w:szCs w:val="23"/>
          <w:lang w:val="es-ES"/>
        </w:rPr>
      </w:pPr>
      <w:r w:rsidRPr="00B65559">
        <w:rPr>
          <w:szCs w:val="23"/>
          <w:lang w:val="es-ES"/>
        </w:rPr>
        <w:t>Que p</w:t>
      </w:r>
      <w:r w:rsidR="003313F6" w:rsidRPr="00B65559">
        <w:rPr>
          <w:szCs w:val="23"/>
          <w:lang w:val="es-ES"/>
        </w:rPr>
        <w:t>or transferencias corrientes se propone añadir $1.428.241.640.521 en concepto de transferencias no</w:t>
      </w:r>
      <w:r w:rsidR="001C64D5" w:rsidRPr="00B65559">
        <w:rPr>
          <w:szCs w:val="23"/>
          <w:lang w:val="es-ES"/>
        </w:rPr>
        <w:t xml:space="preserve"> </w:t>
      </w:r>
      <w:r w:rsidR="003313F6" w:rsidRPr="00B65559">
        <w:rPr>
          <w:szCs w:val="23"/>
          <w:lang w:val="es-ES"/>
        </w:rPr>
        <w:t>automáticas derivadas del Acuerdo antes señalado.</w:t>
      </w:r>
    </w:p>
    <w:p w:rsidR="001C64D5" w:rsidRPr="00B65559" w:rsidRDefault="001C64D5" w:rsidP="00B65559">
      <w:pPr>
        <w:autoSpaceDE w:val="0"/>
        <w:autoSpaceDN w:val="0"/>
        <w:adjustRightInd w:val="0"/>
        <w:rPr>
          <w:szCs w:val="23"/>
          <w:lang w:val="es-ES"/>
        </w:rPr>
      </w:pPr>
    </w:p>
    <w:p w:rsidR="003313F6" w:rsidRPr="00B65559" w:rsidRDefault="00E70CDC" w:rsidP="00B65559">
      <w:pPr>
        <w:autoSpaceDE w:val="0"/>
        <w:autoSpaceDN w:val="0"/>
        <w:adjustRightInd w:val="0"/>
        <w:ind w:firstLine="708"/>
        <w:rPr>
          <w:szCs w:val="23"/>
          <w:lang w:val="es-ES"/>
        </w:rPr>
      </w:pPr>
      <w:r w:rsidRPr="00B65559">
        <w:rPr>
          <w:szCs w:val="23"/>
          <w:lang w:val="es-ES"/>
        </w:rPr>
        <w:t>Que p</w:t>
      </w:r>
      <w:r w:rsidR="003313F6" w:rsidRPr="00B65559">
        <w:rPr>
          <w:szCs w:val="23"/>
          <w:lang w:val="es-ES"/>
        </w:rPr>
        <w:t>or último, se suman $93.554.627.898 como fuentes financieras del ejercicio en concepto de remanentes</w:t>
      </w:r>
      <w:r w:rsidR="001C64D5" w:rsidRPr="00B65559">
        <w:rPr>
          <w:szCs w:val="23"/>
          <w:lang w:val="es-ES"/>
        </w:rPr>
        <w:t xml:space="preserve"> </w:t>
      </w:r>
      <w:r w:rsidR="003313F6" w:rsidRPr="00B65559">
        <w:rPr>
          <w:szCs w:val="23"/>
          <w:lang w:val="es-ES"/>
        </w:rPr>
        <w:t>de ejercicios anteriores provenientes de dividendos del Banco de la Ciudad de Buenos Aires, del Fondo para el</w:t>
      </w:r>
      <w:r w:rsidR="001C64D5" w:rsidRPr="00B65559">
        <w:rPr>
          <w:szCs w:val="23"/>
          <w:lang w:val="es-ES"/>
        </w:rPr>
        <w:t xml:space="preserve"> </w:t>
      </w:r>
      <w:r w:rsidR="003313F6" w:rsidRPr="00B65559">
        <w:rPr>
          <w:szCs w:val="23"/>
          <w:lang w:val="es-ES"/>
        </w:rPr>
        <w:t>Desarrollo Urbano Sostenible (FODUS) y de la Lotería de la Ciudad de Buenos Aires SE (LOTBA SE).</w:t>
      </w:r>
    </w:p>
    <w:p w:rsidR="001C64D5" w:rsidRPr="00B65559" w:rsidRDefault="001C64D5" w:rsidP="00B65559">
      <w:pPr>
        <w:autoSpaceDE w:val="0"/>
        <w:autoSpaceDN w:val="0"/>
        <w:adjustRightInd w:val="0"/>
        <w:rPr>
          <w:szCs w:val="23"/>
          <w:lang w:val="es-ES"/>
        </w:rPr>
      </w:pPr>
    </w:p>
    <w:p w:rsidR="000B130C" w:rsidRPr="00B65559" w:rsidRDefault="000B130C" w:rsidP="00B65559">
      <w:pPr>
        <w:autoSpaceDE w:val="0"/>
        <w:autoSpaceDN w:val="0"/>
        <w:adjustRightInd w:val="0"/>
        <w:rPr>
          <w:szCs w:val="23"/>
          <w:lang w:val="es-ES"/>
        </w:rPr>
      </w:pPr>
      <w:r w:rsidRPr="00B65559">
        <w:rPr>
          <w:szCs w:val="23"/>
          <w:lang w:val="es-ES"/>
        </w:rPr>
        <w:tab/>
        <w:t xml:space="preserve">Que han concurrido funcionarios del Ministerio de Hacienda y Finanzas a fin de informar sobre distintas instancias del presente </w:t>
      </w:r>
      <w:proofErr w:type="gramStart"/>
      <w:r w:rsidRPr="00B65559">
        <w:rPr>
          <w:szCs w:val="23"/>
          <w:lang w:val="es-ES"/>
        </w:rPr>
        <w:t>expediente .</w:t>
      </w:r>
      <w:proofErr w:type="gramEnd"/>
    </w:p>
    <w:p w:rsidR="000B130C" w:rsidRPr="00B65559" w:rsidRDefault="000B130C" w:rsidP="00B65559">
      <w:pPr>
        <w:autoSpaceDE w:val="0"/>
        <w:autoSpaceDN w:val="0"/>
        <w:adjustRightInd w:val="0"/>
        <w:rPr>
          <w:szCs w:val="23"/>
          <w:lang w:val="es-ES"/>
        </w:rPr>
      </w:pPr>
    </w:p>
    <w:p w:rsidR="000B130C" w:rsidRPr="00B65559" w:rsidRDefault="000B130C" w:rsidP="00B65559">
      <w:pPr>
        <w:autoSpaceDE w:val="0"/>
        <w:autoSpaceDN w:val="0"/>
        <w:adjustRightInd w:val="0"/>
        <w:rPr>
          <w:szCs w:val="23"/>
          <w:lang w:val="es-ES"/>
        </w:rPr>
      </w:pPr>
      <w:r w:rsidRPr="00B65559">
        <w:rPr>
          <w:szCs w:val="23"/>
          <w:lang w:val="es-ES"/>
        </w:rPr>
        <w:tab/>
        <w:t xml:space="preserve">Por lo expuesto esta Comisión de Presupuesto, Hacienda, Administración Financiera y Política Tributaria, pone a consideración del Cuerpo la siguiente </w:t>
      </w:r>
    </w:p>
    <w:p w:rsidR="001C64D5" w:rsidRPr="00B65559" w:rsidRDefault="001C64D5" w:rsidP="00B65559">
      <w:pPr>
        <w:keepNext/>
        <w:pBdr>
          <w:top w:val="nil"/>
          <w:left w:val="nil"/>
          <w:bottom w:val="nil"/>
          <w:right w:val="nil"/>
          <w:between w:val="nil"/>
        </w:pBdr>
        <w:tabs>
          <w:tab w:val="left" w:pos="1701"/>
        </w:tabs>
        <w:ind w:hanging="2"/>
        <w:rPr>
          <w:rFonts w:eastAsia="Arial"/>
          <w:b/>
          <w:szCs w:val="22"/>
        </w:rPr>
      </w:pPr>
    </w:p>
    <w:p w:rsidR="001C64D5" w:rsidRPr="00B65559" w:rsidRDefault="001C64D5" w:rsidP="00B65559">
      <w:pPr>
        <w:keepNext/>
        <w:pBdr>
          <w:top w:val="nil"/>
          <w:left w:val="nil"/>
          <w:bottom w:val="nil"/>
          <w:right w:val="nil"/>
          <w:between w:val="nil"/>
        </w:pBdr>
        <w:tabs>
          <w:tab w:val="left" w:pos="1701"/>
        </w:tabs>
        <w:ind w:hanging="2"/>
        <w:rPr>
          <w:rFonts w:eastAsia="Arial"/>
          <w:b/>
          <w:szCs w:val="22"/>
        </w:rPr>
      </w:pPr>
    </w:p>
    <w:p w:rsidR="00701F28" w:rsidRPr="00B65559" w:rsidRDefault="00701F28" w:rsidP="00B65559">
      <w:pPr>
        <w:keepNext/>
        <w:pBdr>
          <w:top w:val="nil"/>
          <w:left w:val="nil"/>
          <w:bottom w:val="nil"/>
          <w:right w:val="nil"/>
          <w:between w:val="nil"/>
        </w:pBdr>
        <w:tabs>
          <w:tab w:val="left" w:pos="1701"/>
        </w:tabs>
        <w:ind w:hanging="2"/>
        <w:jc w:val="center"/>
        <w:rPr>
          <w:rFonts w:eastAsia="Arial"/>
          <w:szCs w:val="22"/>
        </w:rPr>
      </w:pPr>
      <w:r w:rsidRPr="00B65559">
        <w:rPr>
          <w:rFonts w:eastAsia="Arial"/>
          <w:b/>
          <w:szCs w:val="22"/>
        </w:rPr>
        <w:t>LEY</w:t>
      </w:r>
    </w:p>
    <w:p w:rsidR="00701F28" w:rsidRPr="00B65559" w:rsidRDefault="00701F28" w:rsidP="00B65559">
      <w:pPr>
        <w:ind w:hanging="2"/>
        <w:rPr>
          <w:szCs w:val="22"/>
        </w:rPr>
      </w:pPr>
    </w:p>
    <w:p w:rsidR="00701F28" w:rsidRPr="00B65559" w:rsidRDefault="00701F28" w:rsidP="00B65559">
      <w:pPr>
        <w:ind w:hanging="2"/>
        <w:rPr>
          <w:szCs w:val="22"/>
        </w:rPr>
      </w:pPr>
    </w:p>
    <w:p w:rsidR="00701F28" w:rsidRPr="00B65559" w:rsidRDefault="00701F28" w:rsidP="00B65559">
      <w:pPr>
        <w:ind w:hanging="2"/>
        <w:rPr>
          <w:szCs w:val="22"/>
        </w:rPr>
      </w:pPr>
    </w:p>
    <w:p w:rsidR="00701F28" w:rsidRPr="00B65559" w:rsidRDefault="00701F28" w:rsidP="00B65559">
      <w:pPr>
        <w:ind w:hanging="2"/>
        <w:rPr>
          <w:rFonts w:eastAsia="Arial"/>
          <w:szCs w:val="22"/>
        </w:rPr>
      </w:pPr>
      <w:r w:rsidRPr="00B65559">
        <w:rPr>
          <w:rFonts w:eastAsia="Arial"/>
          <w:szCs w:val="22"/>
        </w:rPr>
        <w:t>Artículo 1°.- Modificar el Presupuesto de la Administración Gubernamental del Gobierno de la Ciudad Autónoma de Buenos Aires para el ejercicio 2025, aprobado por la Ley 6.804, de acuerdo a las planillas obrantes en el Anexo, el cual forma parte integrante de la presente Ley.</w:t>
      </w:r>
    </w:p>
    <w:p w:rsidR="00701F28" w:rsidRPr="00B65559" w:rsidRDefault="00701F28" w:rsidP="00B65559">
      <w:pPr>
        <w:ind w:hanging="2"/>
        <w:rPr>
          <w:rFonts w:eastAsia="Arial"/>
          <w:szCs w:val="22"/>
        </w:rPr>
      </w:pPr>
    </w:p>
    <w:p w:rsidR="00701F28" w:rsidRPr="00B65559" w:rsidRDefault="00701F28" w:rsidP="00B65559">
      <w:pPr>
        <w:ind w:hanging="2"/>
        <w:rPr>
          <w:rFonts w:eastAsia="Arial"/>
          <w:szCs w:val="22"/>
        </w:rPr>
      </w:pPr>
      <w:r w:rsidRPr="00B65559">
        <w:rPr>
          <w:rFonts w:eastAsia="Arial"/>
          <w:szCs w:val="22"/>
        </w:rPr>
        <w:t>Artículo 2°.- El Poder Ejecutivo efectuará las readecuaciones crediticias que resulten necesarias a los fines de la implementación de la presente Ley, las que quedan excluidas de las limitaciones porcentuales establecidas por el artículo 23 de la Ley 6.804.</w:t>
      </w:r>
    </w:p>
    <w:p w:rsidR="00701F28" w:rsidRPr="00B65559" w:rsidRDefault="00701F28" w:rsidP="00B65559">
      <w:pPr>
        <w:ind w:hanging="2"/>
        <w:rPr>
          <w:rFonts w:eastAsia="Arial"/>
          <w:szCs w:val="22"/>
        </w:rPr>
      </w:pPr>
    </w:p>
    <w:p w:rsidR="00701F28" w:rsidRPr="00B65559" w:rsidRDefault="00701F28" w:rsidP="00B65559">
      <w:pPr>
        <w:ind w:hanging="2"/>
        <w:rPr>
          <w:rFonts w:eastAsia="Arial"/>
          <w:szCs w:val="22"/>
        </w:rPr>
      </w:pPr>
      <w:r w:rsidRPr="00B65559">
        <w:rPr>
          <w:rFonts w:eastAsia="Arial"/>
          <w:szCs w:val="22"/>
        </w:rPr>
        <w:t>Artículo 3°.- Comunicar al Poder Ejecutivo a los efectos de cumplir con el procedimiento establecido en el artículo 86 de la Constitución de la Ciudad Autónoma de Buenos Aires.</w:t>
      </w:r>
    </w:p>
    <w:p w:rsidR="00701F28" w:rsidRPr="00B65559" w:rsidRDefault="00701F28" w:rsidP="00B65559">
      <w:pPr>
        <w:rPr>
          <w:rFonts w:eastAsia="Arial"/>
          <w:szCs w:val="24"/>
        </w:rPr>
      </w:pPr>
    </w:p>
    <w:p w:rsidR="00D06286" w:rsidRPr="00B65559" w:rsidRDefault="00D06286" w:rsidP="00B65559">
      <w:pPr>
        <w:rPr>
          <w:rFonts w:eastAsia="Arial"/>
          <w:szCs w:val="24"/>
        </w:rPr>
      </w:pPr>
      <w:r w:rsidRPr="00B65559">
        <w:rPr>
          <w:rFonts w:eastAsia="Arial"/>
          <w:szCs w:val="24"/>
        </w:rPr>
        <w:t>Sala de la Comisión,</w:t>
      </w:r>
    </w:p>
    <w:p w:rsidR="00701F28" w:rsidRPr="00B65559" w:rsidRDefault="00701F28" w:rsidP="00B65559">
      <w:pPr>
        <w:ind w:hanging="2"/>
        <w:rPr>
          <w:rFonts w:eastAsia="Arial"/>
          <w:szCs w:val="22"/>
        </w:rPr>
      </w:pPr>
    </w:p>
    <w:p w:rsidR="00701F28" w:rsidRPr="00B65559" w:rsidRDefault="00701F28" w:rsidP="00B65559">
      <w:pPr>
        <w:ind w:hanging="2"/>
        <w:rPr>
          <w:rFonts w:eastAsia="Arial"/>
          <w:szCs w:val="22"/>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48"/>
        <w:gridCol w:w="4348"/>
      </w:tblGrid>
      <w:tr w:rsidR="008C7867" w:rsidRPr="00B65559" w:rsidTr="00E94375">
        <w:trPr>
          <w:trHeight w:val="1602"/>
        </w:trPr>
        <w:tc>
          <w:tcPr>
            <w:tcW w:w="4348" w:type="dxa"/>
            <w:tcBorders>
              <w:bottom w:val="single" w:sz="4" w:space="0" w:color="FFFFFF" w:themeColor="background1"/>
            </w:tcBorders>
            <w:vAlign w:val="bottom"/>
          </w:tcPr>
          <w:p w:rsidR="008C7867" w:rsidRPr="00B65559" w:rsidRDefault="008C7867" w:rsidP="00B65559">
            <w:pPr>
              <w:jc w:val="center"/>
              <w:rPr>
                <w:rFonts w:ascii="Times New Roman" w:hAnsi="Times New Roman" w:cs="Times New Roman"/>
                <w:sz w:val="24"/>
                <w:lang w:val="es-MX"/>
              </w:rPr>
            </w:pPr>
          </w:p>
        </w:tc>
        <w:tc>
          <w:tcPr>
            <w:tcW w:w="4348" w:type="dxa"/>
            <w:tcBorders>
              <w:bottom w:val="single" w:sz="4" w:space="0" w:color="FFFFFF" w:themeColor="background1"/>
            </w:tcBorders>
            <w:vAlign w:val="bottom"/>
          </w:tcPr>
          <w:p w:rsidR="008C7867" w:rsidRPr="00B65559" w:rsidRDefault="008C7867" w:rsidP="00B65559">
            <w:pPr>
              <w:jc w:val="center"/>
              <w:rPr>
                <w:rFonts w:ascii="Times New Roman" w:hAnsi="Times New Roman" w:cs="Times New Roman"/>
                <w:sz w:val="24"/>
              </w:rPr>
            </w:pPr>
            <w:r w:rsidRPr="00B65559">
              <w:rPr>
                <w:rFonts w:ascii="Times New Roman" w:hAnsi="Times New Roman" w:cs="Times New Roman"/>
                <w:sz w:val="24"/>
              </w:rPr>
              <w:t>PAOLA MICHIELOTTO</w:t>
            </w:r>
          </w:p>
          <w:p w:rsidR="008C7867" w:rsidRPr="00B65559" w:rsidRDefault="008C7867" w:rsidP="00B65559">
            <w:pPr>
              <w:jc w:val="center"/>
              <w:rPr>
                <w:rFonts w:ascii="Times New Roman" w:hAnsi="Times New Roman" w:cs="Times New Roman"/>
                <w:sz w:val="24"/>
                <w:lang w:val="es-MX"/>
              </w:rPr>
            </w:pPr>
            <w:r w:rsidRPr="00B65559">
              <w:rPr>
                <w:rFonts w:ascii="Times New Roman" w:hAnsi="Times New Roman" w:cs="Times New Roman"/>
                <w:sz w:val="24"/>
              </w:rPr>
              <w:t>PRESIDENTA</w:t>
            </w:r>
          </w:p>
        </w:tc>
      </w:tr>
      <w:tr w:rsidR="008C7867" w:rsidRPr="00B65559" w:rsidTr="00E94375">
        <w:trPr>
          <w:trHeight w:val="1985"/>
        </w:trPr>
        <w:tc>
          <w:tcPr>
            <w:tcW w:w="4348"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8C7867" w:rsidRPr="00B65559" w:rsidRDefault="008C7867" w:rsidP="00B65559">
            <w:pPr>
              <w:rPr>
                <w:rFonts w:ascii="Times New Roman" w:hAnsi="Times New Roman" w:cs="Times New Roman"/>
                <w:sz w:val="24"/>
                <w:szCs w:val="24"/>
              </w:rPr>
            </w:pPr>
            <w:r w:rsidRPr="00B65559">
              <w:rPr>
                <w:rFonts w:ascii="Times New Roman" w:hAnsi="Times New Roman" w:cs="Times New Roman"/>
                <w:sz w:val="24"/>
                <w:szCs w:val="24"/>
              </w:rPr>
              <w:t xml:space="preserve">               CLAUDIA  NEIRA</w:t>
            </w:r>
          </w:p>
          <w:p w:rsidR="008C7867" w:rsidRPr="00B65559" w:rsidRDefault="008C7867" w:rsidP="00B65559">
            <w:pPr>
              <w:rPr>
                <w:rFonts w:ascii="Times New Roman" w:hAnsi="Times New Roman" w:cs="Times New Roman"/>
                <w:sz w:val="24"/>
                <w:lang w:val="es-MX"/>
              </w:rPr>
            </w:pPr>
            <w:r w:rsidRPr="00B65559">
              <w:rPr>
                <w:rFonts w:ascii="Times New Roman" w:hAnsi="Times New Roman" w:cs="Times New Roman"/>
                <w:sz w:val="24"/>
              </w:rPr>
              <w:t xml:space="preserve">                 Vicepresidenta 1º</w:t>
            </w:r>
          </w:p>
        </w:tc>
        <w:tc>
          <w:tcPr>
            <w:tcW w:w="4348" w:type="dxa"/>
            <w:tcBorders>
              <w:top w:val="single" w:sz="4"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8C7867" w:rsidRPr="00B65559" w:rsidRDefault="008C7867" w:rsidP="00B65559">
            <w:pPr>
              <w:jc w:val="center"/>
              <w:rPr>
                <w:rFonts w:ascii="Times New Roman" w:hAnsi="Times New Roman" w:cs="Times New Roman"/>
                <w:sz w:val="24"/>
              </w:rPr>
            </w:pPr>
            <w:r w:rsidRPr="00B65559">
              <w:rPr>
                <w:rFonts w:ascii="Times New Roman" w:hAnsi="Times New Roman" w:cs="Times New Roman"/>
                <w:sz w:val="24"/>
              </w:rPr>
              <w:t>LUCIO LAPEÑA</w:t>
            </w:r>
          </w:p>
          <w:p w:rsidR="008C7867" w:rsidRPr="00B65559" w:rsidRDefault="008C7867" w:rsidP="00B65559">
            <w:pPr>
              <w:jc w:val="center"/>
              <w:rPr>
                <w:rFonts w:ascii="Times New Roman" w:hAnsi="Times New Roman" w:cs="Times New Roman"/>
                <w:sz w:val="24"/>
                <w:lang w:val="es-MX"/>
              </w:rPr>
            </w:pPr>
            <w:r w:rsidRPr="00B65559">
              <w:rPr>
                <w:rFonts w:ascii="Times New Roman" w:hAnsi="Times New Roman" w:cs="Times New Roman"/>
                <w:sz w:val="24"/>
              </w:rPr>
              <w:t>Vicepresidente 2º</w:t>
            </w:r>
          </w:p>
        </w:tc>
      </w:tr>
      <w:tr w:rsidR="008C7867" w:rsidRPr="00B65559" w:rsidTr="00E94375">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8C7867" w:rsidRPr="00B65559" w:rsidRDefault="008C7867" w:rsidP="00B65559">
            <w:pPr>
              <w:jc w:val="center"/>
              <w:rPr>
                <w:rFonts w:ascii="Times New Roman" w:hAnsi="Times New Roman" w:cs="Times New Roman"/>
                <w:sz w:val="24"/>
                <w:lang w:val="es-MX"/>
              </w:rPr>
            </w:pPr>
            <w:r w:rsidRPr="00B65559">
              <w:rPr>
                <w:rFonts w:ascii="Times New Roman" w:hAnsi="Times New Roman" w:cs="Times New Roman"/>
                <w:sz w:val="24"/>
              </w:rPr>
              <w:t>JUAN PABLO ARENAZA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8C7867" w:rsidRPr="00B65559" w:rsidRDefault="008C7867" w:rsidP="00B65559">
            <w:pPr>
              <w:jc w:val="center"/>
              <w:rPr>
                <w:rFonts w:ascii="Times New Roman" w:hAnsi="Times New Roman" w:cs="Times New Roman"/>
                <w:sz w:val="24"/>
                <w:lang w:val="es-MX"/>
              </w:rPr>
            </w:pPr>
            <w:r w:rsidRPr="00B65559">
              <w:rPr>
                <w:rFonts w:ascii="Times New Roman" w:hAnsi="Times New Roman" w:cs="Times New Roman"/>
                <w:sz w:val="24"/>
              </w:rPr>
              <w:t>MATÍAS BARROETAVEÑA</w:t>
            </w:r>
          </w:p>
        </w:tc>
      </w:tr>
      <w:tr w:rsidR="008C7867" w:rsidRPr="00B65559" w:rsidTr="00E94375">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8C7867" w:rsidRPr="00B65559" w:rsidRDefault="008C7867" w:rsidP="00B65559">
            <w:pPr>
              <w:jc w:val="center"/>
              <w:rPr>
                <w:rFonts w:ascii="Times New Roman" w:hAnsi="Times New Roman" w:cs="Times New Roman"/>
                <w:sz w:val="24"/>
                <w:szCs w:val="24"/>
                <w:lang w:val="es-MX"/>
              </w:rPr>
            </w:pPr>
            <w:r w:rsidRPr="00B65559">
              <w:rPr>
                <w:rFonts w:ascii="Times New Roman" w:hAnsi="Times New Roman" w:cs="Times New Roman"/>
                <w:sz w:val="24"/>
                <w:szCs w:val="24"/>
                <w:lang w:val="es-MX"/>
              </w:rPr>
              <w:t>EUGENIO CASIELLES</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8C7867" w:rsidRPr="00B65559" w:rsidRDefault="008C7867" w:rsidP="00B65559">
            <w:pPr>
              <w:jc w:val="center"/>
              <w:rPr>
                <w:rFonts w:ascii="Times New Roman" w:hAnsi="Times New Roman" w:cs="Times New Roman"/>
                <w:sz w:val="24"/>
                <w:szCs w:val="24"/>
                <w:lang w:val="es-MX"/>
              </w:rPr>
            </w:pPr>
            <w:r w:rsidRPr="00B65559">
              <w:rPr>
                <w:rFonts w:ascii="Times New Roman" w:hAnsi="Times New Roman" w:cs="Times New Roman"/>
                <w:sz w:val="24"/>
                <w:szCs w:val="24"/>
                <w:lang w:val="es-MX"/>
              </w:rPr>
              <w:t>FACUNDO DEL GAISO</w:t>
            </w:r>
          </w:p>
        </w:tc>
      </w:tr>
      <w:tr w:rsidR="008C7867" w:rsidRPr="00B65559" w:rsidTr="00E94375">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8C7867" w:rsidRPr="00B65559" w:rsidRDefault="008C7867" w:rsidP="00B65559">
            <w:pPr>
              <w:jc w:val="center"/>
              <w:rPr>
                <w:rFonts w:ascii="Times New Roman" w:hAnsi="Times New Roman" w:cs="Times New Roman"/>
                <w:sz w:val="24"/>
                <w:lang w:val="es-MX"/>
              </w:rPr>
            </w:pPr>
            <w:r w:rsidRPr="00B65559">
              <w:rPr>
                <w:rFonts w:ascii="Times New Roman" w:hAnsi="Times New Roman" w:cs="Times New Roman"/>
                <w:sz w:val="24"/>
              </w:rPr>
              <w:t>PABLO DONATI</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8C7867" w:rsidRPr="00B65559" w:rsidRDefault="008C7867" w:rsidP="00B65559">
            <w:pPr>
              <w:jc w:val="center"/>
              <w:rPr>
                <w:rFonts w:ascii="Times New Roman" w:hAnsi="Times New Roman" w:cs="Times New Roman"/>
                <w:sz w:val="24"/>
                <w:lang w:val="es-MX"/>
              </w:rPr>
            </w:pPr>
            <w:r w:rsidRPr="00B65559">
              <w:rPr>
                <w:rFonts w:ascii="Times New Roman" w:hAnsi="Times New Roman" w:cs="Times New Roman"/>
                <w:sz w:val="24"/>
              </w:rPr>
              <w:t>MARÍA LUISA GONZÁLEZ ESTEVARENA</w:t>
            </w:r>
          </w:p>
        </w:tc>
      </w:tr>
      <w:tr w:rsidR="008C7867" w:rsidRPr="00B65559" w:rsidTr="00E94375">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8C7867" w:rsidRPr="00B65559" w:rsidRDefault="008C7867" w:rsidP="00B65559">
            <w:pPr>
              <w:jc w:val="center"/>
              <w:rPr>
                <w:rFonts w:ascii="Times New Roman" w:hAnsi="Times New Roman" w:cs="Times New Roman"/>
                <w:sz w:val="24"/>
                <w:lang w:val="es-MX"/>
              </w:rPr>
            </w:pPr>
            <w:r w:rsidRPr="00B65559">
              <w:rPr>
                <w:rFonts w:ascii="Times New Roman" w:hAnsi="Times New Roman" w:cs="Times New Roman"/>
                <w:sz w:val="24"/>
              </w:rPr>
              <w:t>MATÍAS LAMMENS</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8C7867" w:rsidRPr="00B65559" w:rsidRDefault="008C7867" w:rsidP="00B65559">
            <w:pPr>
              <w:jc w:val="center"/>
              <w:rPr>
                <w:rFonts w:ascii="Times New Roman" w:hAnsi="Times New Roman" w:cs="Times New Roman"/>
                <w:sz w:val="24"/>
                <w:lang w:val="es-MX"/>
              </w:rPr>
            </w:pPr>
            <w:r w:rsidRPr="00B65559">
              <w:rPr>
                <w:rFonts w:ascii="Times New Roman" w:hAnsi="Times New Roman" w:cs="Times New Roman"/>
                <w:sz w:val="24"/>
              </w:rPr>
              <w:t>MATÍAS LOPEZ</w:t>
            </w:r>
          </w:p>
        </w:tc>
      </w:tr>
      <w:tr w:rsidR="008C7867" w:rsidRPr="00B65559" w:rsidTr="00E94375">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8C7867" w:rsidRPr="00B65559" w:rsidRDefault="008C7867" w:rsidP="00B65559">
            <w:pPr>
              <w:jc w:val="center"/>
              <w:rPr>
                <w:rFonts w:ascii="Times New Roman" w:hAnsi="Times New Roman" w:cs="Times New Roman"/>
                <w:sz w:val="24"/>
              </w:rPr>
            </w:pPr>
            <w:r w:rsidRPr="00B65559">
              <w:rPr>
                <w:rFonts w:ascii="Times New Roman" w:hAnsi="Times New Roman" w:cs="Times New Roman"/>
                <w:sz w:val="24"/>
              </w:rPr>
              <w:t>RAMIRO MARRA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8C7867" w:rsidRPr="00B65559" w:rsidRDefault="008C7867" w:rsidP="00B65559">
            <w:pPr>
              <w:jc w:val="center"/>
              <w:rPr>
                <w:rFonts w:ascii="Times New Roman" w:hAnsi="Times New Roman" w:cs="Times New Roman"/>
                <w:sz w:val="24"/>
              </w:rPr>
            </w:pPr>
            <w:r w:rsidRPr="00B65559">
              <w:rPr>
                <w:rFonts w:ascii="Times New Roman" w:hAnsi="Times New Roman" w:cs="Times New Roman"/>
                <w:sz w:val="24"/>
              </w:rPr>
              <w:t>JUAN PABLO MODARELLI</w:t>
            </w:r>
          </w:p>
        </w:tc>
      </w:tr>
      <w:tr w:rsidR="008C7867" w:rsidRPr="00B65559" w:rsidTr="00E94375">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8C7867" w:rsidRPr="00B65559" w:rsidRDefault="008C7867" w:rsidP="00B65559">
            <w:pPr>
              <w:jc w:val="center"/>
              <w:rPr>
                <w:rFonts w:ascii="Times New Roman" w:hAnsi="Times New Roman" w:cs="Times New Roman"/>
                <w:sz w:val="24"/>
                <w:lang w:val="es-MX"/>
              </w:rPr>
            </w:pPr>
            <w:r w:rsidRPr="00B65559">
              <w:rPr>
                <w:rFonts w:ascii="Times New Roman" w:hAnsi="Times New Roman" w:cs="Times New Roman"/>
                <w:sz w:val="24"/>
              </w:rPr>
              <w:t>MARÍA FERNANDA MOLLARD</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8C7867" w:rsidRPr="00B65559" w:rsidRDefault="008C7867" w:rsidP="00B65559">
            <w:pPr>
              <w:jc w:val="center"/>
              <w:rPr>
                <w:rFonts w:ascii="Times New Roman" w:hAnsi="Times New Roman" w:cs="Times New Roman"/>
                <w:sz w:val="24"/>
                <w:lang w:val="es-MX"/>
              </w:rPr>
            </w:pPr>
            <w:r w:rsidRPr="00B65559">
              <w:rPr>
                <w:rFonts w:ascii="Times New Roman" w:hAnsi="Times New Roman" w:cs="Times New Roman"/>
                <w:sz w:val="24"/>
              </w:rPr>
              <w:t>SEBASTIÁN NAGATA</w:t>
            </w:r>
          </w:p>
        </w:tc>
      </w:tr>
      <w:tr w:rsidR="008C7867" w:rsidRPr="00B65559" w:rsidTr="00E94375">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8C7867" w:rsidRPr="00B65559" w:rsidRDefault="008C7867" w:rsidP="00B65559">
            <w:pPr>
              <w:jc w:val="center"/>
              <w:rPr>
                <w:rFonts w:ascii="Times New Roman" w:hAnsi="Times New Roman" w:cs="Times New Roman"/>
                <w:sz w:val="24"/>
                <w:lang w:val="es-MX"/>
              </w:rPr>
            </w:pPr>
            <w:r w:rsidRPr="00B65559">
              <w:rPr>
                <w:rFonts w:ascii="Times New Roman" w:hAnsi="Times New Roman" w:cs="Times New Roman"/>
                <w:sz w:val="24"/>
              </w:rPr>
              <w:lastRenderedPageBreak/>
              <w:t>DARÍO NIETO</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8C7867" w:rsidRPr="00B65559" w:rsidRDefault="008C7867" w:rsidP="00B65559">
            <w:pPr>
              <w:jc w:val="center"/>
              <w:rPr>
                <w:rFonts w:ascii="Times New Roman" w:hAnsi="Times New Roman" w:cs="Times New Roman"/>
                <w:sz w:val="24"/>
                <w:lang w:val="es-MX"/>
              </w:rPr>
            </w:pPr>
            <w:r w:rsidRPr="00B65559">
              <w:rPr>
                <w:rFonts w:ascii="Times New Roman" w:hAnsi="Times New Roman" w:cs="Times New Roman"/>
                <w:sz w:val="24"/>
              </w:rPr>
              <w:t>MARÍA INÉS PARRY</w:t>
            </w:r>
          </w:p>
        </w:tc>
      </w:tr>
      <w:tr w:rsidR="008C7867" w:rsidRPr="00B65559" w:rsidTr="00E94375">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8C7867" w:rsidRPr="00B65559" w:rsidRDefault="008C7867" w:rsidP="00B65559">
            <w:pPr>
              <w:jc w:val="center"/>
              <w:rPr>
                <w:rFonts w:ascii="Times New Roman" w:hAnsi="Times New Roman" w:cs="Times New Roman"/>
                <w:sz w:val="24"/>
                <w:szCs w:val="24"/>
                <w:lang w:val="es-MX"/>
              </w:rPr>
            </w:pPr>
            <w:r w:rsidRPr="00B65559">
              <w:rPr>
                <w:rFonts w:ascii="Times New Roman" w:hAnsi="Times New Roman" w:cs="Times New Roman"/>
                <w:sz w:val="24"/>
                <w:szCs w:val="24"/>
                <w:lang w:val="es-MX"/>
              </w:rPr>
              <w:t>MARÍA DEL PILAR RAMÍREZ</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8C7867" w:rsidRPr="00B65559" w:rsidRDefault="008C7867" w:rsidP="00B65559">
            <w:pPr>
              <w:jc w:val="center"/>
              <w:rPr>
                <w:rFonts w:ascii="Times New Roman" w:hAnsi="Times New Roman" w:cs="Times New Roman"/>
                <w:sz w:val="24"/>
                <w:lang w:val="es-MX"/>
              </w:rPr>
            </w:pPr>
            <w:r w:rsidRPr="00B65559">
              <w:rPr>
                <w:rFonts w:ascii="Times New Roman" w:hAnsi="Times New Roman" w:cs="Times New Roman"/>
                <w:sz w:val="24"/>
                <w:szCs w:val="24"/>
              </w:rPr>
              <w:t>SERGIO SICILIANO</w:t>
            </w:r>
          </w:p>
        </w:tc>
      </w:tr>
      <w:tr w:rsidR="008C7867" w:rsidRPr="00B65559" w:rsidTr="00E94375">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8C7867" w:rsidRPr="00B65559" w:rsidRDefault="008C7867" w:rsidP="00B65559">
            <w:pPr>
              <w:jc w:val="center"/>
              <w:rPr>
                <w:rFonts w:ascii="Times New Roman" w:hAnsi="Times New Roman" w:cs="Times New Roman"/>
                <w:sz w:val="24"/>
                <w:lang w:val="es-MX"/>
              </w:rPr>
            </w:pPr>
            <w:r w:rsidRPr="00B65559">
              <w:rPr>
                <w:rFonts w:ascii="Times New Roman" w:hAnsi="Times New Roman" w:cs="Times New Roman"/>
                <w:sz w:val="24"/>
                <w:szCs w:val="24"/>
                <w:lang w:val="es-MX"/>
              </w:rPr>
              <w:t>GUILLERMO SUÁREZ</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8C7867" w:rsidRPr="00B65559" w:rsidRDefault="008C7867" w:rsidP="00B65559">
            <w:pPr>
              <w:jc w:val="center"/>
              <w:rPr>
                <w:rFonts w:ascii="Times New Roman" w:hAnsi="Times New Roman" w:cs="Times New Roman"/>
                <w:sz w:val="24"/>
                <w:szCs w:val="24"/>
              </w:rPr>
            </w:pPr>
            <w:r w:rsidRPr="00B65559">
              <w:rPr>
                <w:rFonts w:ascii="Times New Roman" w:hAnsi="Times New Roman" w:cs="Times New Roman"/>
                <w:sz w:val="24"/>
                <w:szCs w:val="24"/>
              </w:rPr>
              <w:t>JUAN MANUEL VALDÉS</w:t>
            </w:r>
          </w:p>
        </w:tc>
      </w:tr>
      <w:tr w:rsidR="008C7867" w:rsidRPr="00B65559" w:rsidTr="00E94375">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8C7867" w:rsidRPr="00B65559" w:rsidRDefault="008C7867" w:rsidP="00B65559">
            <w:pPr>
              <w:jc w:val="center"/>
              <w:rPr>
                <w:rFonts w:ascii="Times New Roman" w:hAnsi="Times New Roman" w:cs="Times New Roman"/>
                <w:sz w:val="24"/>
                <w:szCs w:val="24"/>
              </w:rPr>
            </w:pPr>
            <w:r w:rsidRPr="00B65559">
              <w:rPr>
                <w:rFonts w:ascii="Times New Roman" w:hAnsi="Times New Roman" w:cs="Times New Roman"/>
                <w:sz w:val="24"/>
                <w:szCs w:val="24"/>
              </w:rPr>
              <w:t>GIMENA VILLAFRUELA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8C7867" w:rsidRPr="00B65559" w:rsidRDefault="008C7867" w:rsidP="00B65559">
            <w:pPr>
              <w:jc w:val="center"/>
              <w:rPr>
                <w:rFonts w:ascii="Times New Roman" w:hAnsi="Times New Roman" w:cs="Times New Roman"/>
                <w:sz w:val="24"/>
                <w:szCs w:val="24"/>
              </w:rPr>
            </w:pPr>
            <w:r w:rsidRPr="00B65559">
              <w:rPr>
                <w:rFonts w:ascii="Times New Roman" w:hAnsi="Times New Roman" w:cs="Times New Roman"/>
                <w:sz w:val="24"/>
                <w:szCs w:val="24"/>
              </w:rPr>
              <w:t>FRANCO VITALI</w:t>
            </w:r>
          </w:p>
        </w:tc>
      </w:tr>
      <w:tr w:rsidR="008C7867" w:rsidRPr="00B65559" w:rsidTr="00E94375">
        <w:trPr>
          <w:trHeight w:val="1985"/>
        </w:trPr>
        <w:tc>
          <w:tcPr>
            <w:tcW w:w="4348" w:type="dxa"/>
            <w:tcBorders>
              <w:top w:val="single" w:sz="6" w:space="0" w:color="FFFFFF" w:themeColor="background1"/>
              <w:left w:val="single" w:sz="4" w:space="0" w:color="FFFFFF" w:themeColor="background1"/>
              <w:bottom w:val="single" w:sz="4" w:space="0" w:color="FFFFFF" w:themeColor="background1"/>
              <w:right w:val="single" w:sz="6" w:space="0" w:color="FFFFFF" w:themeColor="background1"/>
            </w:tcBorders>
            <w:vAlign w:val="bottom"/>
          </w:tcPr>
          <w:p w:rsidR="008C7867" w:rsidRPr="00B65559" w:rsidRDefault="008C7867" w:rsidP="00B65559">
            <w:pPr>
              <w:jc w:val="center"/>
              <w:rPr>
                <w:rFonts w:ascii="Times New Roman" w:hAnsi="Times New Roman" w:cs="Times New Roman"/>
                <w:sz w:val="24"/>
                <w:szCs w:val="24"/>
              </w:rPr>
            </w:pPr>
          </w:p>
        </w:tc>
        <w:tc>
          <w:tcPr>
            <w:tcW w:w="4348" w:type="dxa"/>
            <w:tcBorders>
              <w:top w:val="single" w:sz="6" w:space="0" w:color="FFFFFF" w:themeColor="background1"/>
              <w:left w:val="single" w:sz="6" w:space="0" w:color="FFFFFF" w:themeColor="background1"/>
              <w:bottom w:val="single" w:sz="4" w:space="0" w:color="FFFFFF" w:themeColor="background1"/>
              <w:right w:val="single" w:sz="4" w:space="0" w:color="FFFFFF" w:themeColor="background1"/>
            </w:tcBorders>
            <w:vAlign w:val="bottom"/>
          </w:tcPr>
          <w:p w:rsidR="008C7867" w:rsidRPr="00B65559" w:rsidRDefault="008C7867" w:rsidP="00B65559">
            <w:pPr>
              <w:jc w:val="center"/>
              <w:rPr>
                <w:rFonts w:ascii="Times New Roman" w:hAnsi="Times New Roman" w:cs="Times New Roman"/>
                <w:sz w:val="24"/>
                <w:szCs w:val="24"/>
              </w:rPr>
            </w:pPr>
          </w:p>
        </w:tc>
      </w:tr>
    </w:tbl>
    <w:p w:rsidR="008C7867" w:rsidRPr="00B65559" w:rsidRDefault="008C7867" w:rsidP="00B65559"/>
    <w:p w:rsidR="00701F28" w:rsidRPr="00B65559" w:rsidRDefault="00701F28" w:rsidP="00B65559">
      <w:pPr>
        <w:ind w:hanging="2"/>
        <w:rPr>
          <w:rFonts w:eastAsia="Arial"/>
          <w:szCs w:val="22"/>
        </w:rPr>
      </w:pPr>
    </w:p>
    <w:p w:rsidR="00701F28" w:rsidRPr="00B65559" w:rsidRDefault="00701F28" w:rsidP="00B65559">
      <w:pPr>
        <w:rPr>
          <w:lang w:val="es-MX"/>
        </w:rPr>
      </w:pPr>
    </w:p>
    <w:p w:rsidR="00090FAB" w:rsidRPr="00B65559" w:rsidRDefault="00090FAB" w:rsidP="00B65559">
      <w:pPr>
        <w:rPr>
          <w:lang w:val="es-MX"/>
        </w:rPr>
      </w:pPr>
    </w:p>
    <w:p w:rsidR="00090FAB" w:rsidRPr="00B65559" w:rsidRDefault="00090FAB" w:rsidP="00B65559">
      <w:pPr>
        <w:rPr>
          <w:lang w:val="es-MX"/>
        </w:rPr>
      </w:pPr>
    </w:p>
    <w:p w:rsidR="00090FAB" w:rsidRPr="00B65559" w:rsidRDefault="00090FAB" w:rsidP="00B65559">
      <w:pPr>
        <w:rPr>
          <w:lang w:val="es-MX"/>
        </w:rPr>
      </w:pPr>
    </w:p>
    <w:p w:rsidR="00090FAB" w:rsidRPr="00B65559" w:rsidRDefault="008C7867" w:rsidP="00B65559">
      <w:pPr>
        <w:rPr>
          <w:lang w:val="es-MX"/>
        </w:rPr>
      </w:pPr>
      <w:r w:rsidRPr="00B65559">
        <w:rPr>
          <w:noProof/>
          <w:lang w:val="es-ES"/>
        </w:rPr>
        <w:lastRenderedPageBreak/>
        <w:drawing>
          <wp:inline distT="0" distB="0" distL="0" distR="0">
            <wp:extent cx="5396865" cy="6025985"/>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396865" cy="6025985"/>
                    </a:xfrm>
                    <a:prstGeom prst="rect">
                      <a:avLst/>
                    </a:prstGeom>
                    <a:noFill/>
                    <a:ln w="9525">
                      <a:noFill/>
                      <a:miter lim="800000"/>
                      <a:headEnd/>
                      <a:tailEnd/>
                    </a:ln>
                  </pic:spPr>
                </pic:pic>
              </a:graphicData>
            </a:graphic>
          </wp:inline>
        </w:drawing>
      </w:r>
    </w:p>
    <w:p w:rsidR="00090FAB" w:rsidRPr="00B65559" w:rsidRDefault="00090FAB" w:rsidP="00B65559">
      <w:pPr>
        <w:rPr>
          <w:lang w:val="es-MX"/>
        </w:rPr>
      </w:pPr>
    </w:p>
    <w:p w:rsidR="00090FAB" w:rsidRPr="00B65559" w:rsidRDefault="009F359F" w:rsidP="00B65559">
      <w:pPr>
        <w:rPr>
          <w:lang w:val="es-MX"/>
        </w:rPr>
      </w:pPr>
      <w:r w:rsidRPr="00B65559">
        <w:rPr>
          <w:noProof/>
          <w:lang w:val="es-ES"/>
        </w:rPr>
        <w:drawing>
          <wp:inline distT="0" distB="0" distL="0" distR="0">
            <wp:extent cx="5396865" cy="2934218"/>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396865" cy="2934218"/>
                    </a:xfrm>
                    <a:prstGeom prst="rect">
                      <a:avLst/>
                    </a:prstGeom>
                    <a:noFill/>
                    <a:ln w="9525">
                      <a:noFill/>
                      <a:miter lim="800000"/>
                      <a:headEnd/>
                      <a:tailEnd/>
                    </a:ln>
                  </pic:spPr>
                </pic:pic>
              </a:graphicData>
            </a:graphic>
          </wp:inline>
        </w:drawing>
      </w:r>
    </w:p>
    <w:p w:rsidR="009F359F" w:rsidRPr="00B65559" w:rsidRDefault="009F359F" w:rsidP="00B65559">
      <w:pPr>
        <w:rPr>
          <w:lang w:val="es-MX"/>
        </w:rPr>
      </w:pPr>
    </w:p>
    <w:p w:rsidR="009F359F" w:rsidRPr="00B65559" w:rsidRDefault="009F359F" w:rsidP="00B65559">
      <w:pPr>
        <w:rPr>
          <w:lang w:val="es-MX"/>
        </w:rPr>
      </w:pPr>
    </w:p>
    <w:p w:rsidR="009F359F" w:rsidRPr="00B65559" w:rsidRDefault="009F359F" w:rsidP="00B65559">
      <w:pPr>
        <w:rPr>
          <w:lang w:val="es-MX"/>
        </w:rPr>
      </w:pPr>
    </w:p>
    <w:p w:rsidR="009F359F" w:rsidRPr="00B65559" w:rsidRDefault="009F359F" w:rsidP="00B65559">
      <w:pPr>
        <w:rPr>
          <w:lang w:val="es-MX"/>
        </w:rPr>
      </w:pPr>
    </w:p>
    <w:p w:rsidR="009F359F" w:rsidRPr="00B65559" w:rsidRDefault="009F359F" w:rsidP="00B65559">
      <w:pPr>
        <w:rPr>
          <w:lang w:val="es-MX"/>
        </w:rPr>
      </w:pPr>
    </w:p>
    <w:p w:rsidR="009F359F" w:rsidRPr="00B65559" w:rsidRDefault="009F359F" w:rsidP="00B65559">
      <w:pPr>
        <w:rPr>
          <w:lang w:val="es-MX"/>
        </w:rPr>
      </w:pPr>
    </w:p>
    <w:p w:rsidR="006B5E1D" w:rsidRPr="00B65559" w:rsidRDefault="006B5E1D" w:rsidP="00B65559">
      <w:pPr>
        <w:rPr>
          <w:lang w:val="es-MX"/>
        </w:rPr>
      </w:pPr>
      <w:r w:rsidRPr="00B65559">
        <w:rPr>
          <w:noProof/>
          <w:lang w:val="es-ES"/>
        </w:rPr>
        <w:lastRenderedPageBreak/>
        <w:drawing>
          <wp:inline distT="0" distB="0" distL="0" distR="0">
            <wp:extent cx="6210300" cy="3130627"/>
            <wp:effectExtent l="1905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218387" cy="3134704"/>
                    </a:xfrm>
                    <a:prstGeom prst="rect">
                      <a:avLst/>
                    </a:prstGeom>
                    <a:noFill/>
                    <a:ln w="9525">
                      <a:noFill/>
                      <a:miter lim="800000"/>
                      <a:headEnd/>
                      <a:tailEnd/>
                    </a:ln>
                  </pic:spPr>
                </pic:pic>
              </a:graphicData>
            </a:graphic>
          </wp:inline>
        </w:drawing>
      </w:r>
    </w:p>
    <w:sectPr w:rsidR="006B5E1D" w:rsidRPr="00B65559" w:rsidSect="006C604C">
      <w:headerReference w:type="default" r:id="rId10"/>
      <w:footerReference w:type="default" r:id="rId11"/>
      <w:pgSz w:w="12242" w:h="20163" w:code="5"/>
      <w:pgMar w:top="2268" w:right="851" w:bottom="1418" w:left="226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5D3" w:rsidRDefault="00B775D3">
      <w:r>
        <w:separator/>
      </w:r>
    </w:p>
  </w:endnote>
  <w:endnote w:type="continuationSeparator" w:id="0">
    <w:p w:rsidR="00B775D3" w:rsidRDefault="00B77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D84DCD" w:rsidRDefault="00601A75">
    <w:pPr>
      <w:pStyle w:val="Piedepgina"/>
      <w:rPr>
        <w:color w:val="333333"/>
        <w:sz w:val="20"/>
      </w:rPr>
    </w:pPr>
    <w:bookmarkStart w:id="0" w:name="Despacho"/>
    <w:bookmarkEnd w:id="0"/>
  </w:p>
  <w:p w:rsidR="00601A75" w:rsidRPr="00D84DCD" w:rsidRDefault="00601A75">
    <w:pPr>
      <w:pStyle w:val="Piedepgina"/>
      <w:rPr>
        <w:color w:val="333333"/>
        <w:sz w:val="20"/>
      </w:rPr>
    </w:pPr>
    <w:r w:rsidRPr="00D84DCD">
      <w:rPr>
        <w:color w:val="333333"/>
        <w:sz w:val="20"/>
      </w:rPr>
      <w:t xml:space="preserve">Último cambio: </w:t>
    </w:r>
    <w:fldSimple w:instr=" SAVEDATE  \* MERGEFORMAT ">
      <w:r w:rsidR="00D84DCD" w:rsidRPr="00D84DCD">
        <w:rPr>
          <w:noProof/>
          <w:color w:val="333333"/>
          <w:sz w:val="20"/>
        </w:rPr>
        <w:t>03/11/2025 11:50:00</w:t>
      </w:r>
    </w:fldSimple>
    <w:r w:rsidRPr="00D84DCD">
      <w:rPr>
        <w:color w:val="333333"/>
        <w:sz w:val="20"/>
      </w:rPr>
      <w:t xml:space="preserve">  -  Cantidad de caracteres: </w:t>
    </w:r>
    <w:fldSimple w:instr=" NUMCHARS  \* MERGEFORMAT ">
      <w:r w:rsidR="00D84DCD" w:rsidRPr="00D84DCD">
        <w:rPr>
          <w:noProof/>
          <w:color w:val="333333"/>
          <w:sz w:val="20"/>
        </w:rPr>
        <w:t>5498</w:t>
      </w:r>
    </w:fldSimple>
    <w:r w:rsidRPr="00D84DCD">
      <w:rPr>
        <w:color w:val="333333"/>
        <w:sz w:val="20"/>
      </w:rPr>
      <w:t xml:space="preserve"> - Cantidad de palabras: </w:t>
    </w:r>
    <w:fldSimple w:instr=" NUMWORDS  \* MERGEFORMAT ">
      <w:r w:rsidR="00D84DCD" w:rsidRPr="00D84DCD">
        <w:rPr>
          <w:noProof/>
          <w:color w:val="333333"/>
          <w:sz w:val="20"/>
        </w:rPr>
        <w:t>970</w:t>
      </w:r>
    </w:fldSimple>
  </w:p>
  <w:p w:rsidR="00601A75" w:rsidRPr="00D84DCD" w:rsidRDefault="00601A75" w:rsidP="00B05649">
    <w:pPr>
      <w:pStyle w:val="Piedepgina"/>
      <w:tabs>
        <w:tab w:val="left" w:pos="3565"/>
      </w:tabs>
      <w:rPr>
        <w:rStyle w:val="Nmerodepgina"/>
        <w:color w:val="333333"/>
      </w:rPr>
    </w:pPr>
    <w:r w:rsidRPr="00D84DCD">
      <w:rPr>
        <w:color w:val="333333"/>
        <w:sz w:val="20"/>
      </w:rPr>
      <w:tab/>
      <w:t>Pág.</w:t>
    </w:r>
    <w:r w:rsidRPr="00D84DCD">
      <w:rPr>
        <w:color w:val="333333"/>
      </w:rPr>
      <w:t xml:space="preserve"> </w:t>
    </w:r>
    <w:r w:rsidR="00F9297E" w:rsidRPr="00D84DCD">
      <w:rPr>
        <w:rStyle w:val="Nmerodepgina"/>
        <w:color w:val="333333"/>
      </w:rPr>
      <w:fldChar w:fldCharType="begin"/>
    </w:r>
    <w:r w:rsidRPr="00D84DCD">
      <w:rPr>
        <w:rStyle w:val="Nmerodepgina"/>
        <w:color w:val="333333"/>
      </w:rPr>
      <w:instrText xml:space="preserve"> PAGE </w:instrText>
    </w:r>
    <w:r w:rsidR="00F9297E" w:rsidRPr="00D84DCD">
      <w:rPr>
        <w:rStyle w:val="Nmerodepgina"/>
        <w:color w:val="333333"/>
      </w:rPr>
      <w:fldChar w:fldCharType="separate"/>
    </w:r>
    <w:r w:rsidR="003009C1">
      <w:rPr>
        <w:rStyle w:val="Nmerodepgina"/>
        <w:noProof/>
        <w:color w:val="333333"/>
      </w:rPr>
      <w:t>6</w:t>
    </w:r>
    <w:r w:rsidR="00F9297E" w:rsidRPr="00D84DCD">
      <w:rPr>
        <w:rStyle w:val="Nmerodepgina"/>
        <w:color w:val="333333"/>
      </w:rPr>
      <w:fldChar w:fldCharType="end"/>
    </w:r>
    <w:r w:rsidRPr="00D84DCD">
      <w:rPr>
        <w:rStyle w:val="Nmerodepgina"/>
        <w:color w:val="333333"/>
      </w:rPr>
      <w:t>/</w:t>
    </w:r>
    <w:fldSimple w:instr=" NUMPAGES  \* MERGEFORMAT ">
      <w:r w:rsidR="003009C1" w:rsidRPr="003009C1">
        <w:rPr>
          <w:rStyle w:val="Nmerodepgina"/>
          <w:noProof/>
          <w:color w:val="333333"/>
        </w:rPr>
        <w:t>6</w:t>
      </w:r>
    </w:fldSimple>
    <w:r w:rsidRPr="00D84DCD">
      <w:rPr>
        <w:rStyle w:val="Nmerodepgina"/>
        <w:color w:val="333333"/>
      </w:rPr>
      <w:t xml:space="preserve"> </w:t>
    </w:r>
  </w:p>
  <w:p w:rsidR="00601A75" w:rsidRPr="00D84DCD"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5D3" w:rsidRDefault="00B775D3">
      <w:r>
        <w:separator/>
      </w:r>
    </w:p>
  </w:footnote>
  <w:footnote w:type="continuationSeparator" w:id="0">
    <w:p w:rsidR="00B775D3" w:rsidRDefault="00B775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701F28"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rsids>
    <w:rsidRoot w:val="009572FC"/>
    <w:rsid w:val="00000D04"/>
    <w:rsid w:val="00001988"/>
    <w:rsid w:val="000031F8"/>
    <w:rsid w:val="00026430"/>
    <w:rsid w:val="00030DF5"/>
    <w:rsid w:val="0003615C"/>
    <w:rsid w:val="000376AB"/>
    <w:rsid w:val="00037A77"/>
    <w:rsid w:val="00043882"/>
    <w:rsid w:val="00053263"/>
    <w:rsid w:val="00062864"/>
    <w:rsid w:val="00067370"/>
    <w:rsid w:val="000713D7"/>
    <w:rsid w:val="00071CFB"/>
    <w:rsid w:val="00077DAC"/>
    <w:rsid w:val="00080837"/>
    <w:rsid w:val="00081FFF"/>
    <w:rsid w:val="00085D07"/>
    <w:rsid w:val="00090FAB"/>
    <w:rsid w:val="000B130C"/>
    <w:rsid w:val="000B2290"/>
    <w:rsid w:val="000D1497"/>
    <w:rsid w:val="000D2860"/>
    <w:rsid w:val="000D6C54"/>
    <w:rsid w:val="000E3949"/>
    <w:rsid w:val="000F74CB"/>
    <w:rsid w:val="000F7E30"/>
    <w:rsid w:val="00103C49"/>
    <w:rsid w:val="00103C6B"/>
    <w:rsid w:val="00104335"/>
    <w:rsid w:val="00127D10"/>
    <w:rsid w:val="00133444"/>
    <w:rsid w:val="00136787"/>
    <w:rsid w:val="00145948"/>
    <w:rsid w:val="00155C7C"/>
    <w:rsid w:val="00160A2A"/>
    <w:rsid w:val="001614A7"/>
    <w:rsid w:val="00176846"/>
    <w:rsid w:val="0019414B"/>
    <w:rsid w:val="001B0CF3"/>
    <w:rsid w:val="001B770D"/>
    <w:rsid w:val="001C18CC"/>
    <w:rsid w:val="001C64D5"/>
    <w:rsid w:val="001D480C"/>
    <w:rsid w:val="001E5394"/>
    <w:rsid w:val="001F2924"/>
    <w:rsid w:val="001F3AFD"/>
    <w:rsid w:val="00205802"/>
    <w:rsid w:val="00205DAD"/>
    <w:rsid w:val="00223436"/>
    <w:rsid w:val="002327DE"/>
    <w:rsid w:val="00246DF0"/>
    <w:rsid w:val="0026220D"/>
    <w:rsid w:val="00265972"/>
    <w:rsid w:val="00275865"/>
    <w:rsid w:val="00276A7E"/>
    <w:rsid w:val="00285E7A"/>
    <w:rsid w:val="00296815"/>
    <w:rsid w:val="002971A4"/>
    <w:rsid w:val="002B47D0"/>
    <w:rsid w:val="002B7B0C"/>
    <w:rsid w:val="002C768C"/>
    <w:rsid w:val="002D05E9"/>
    <w:rsid w:val="002D533A"/>
    <w:rsid w:val="002D778C"/>
    <w:rsid w:val="002E38C3"/>
    <w:rsid w:val="002F7961"/>
    <w:rsid w:val="003009C1"/>
    <w:rsid w:val="00302300"/>
    <w:rsid w:val="00305DD1"/>
    <w:rsid w:val="003120D8"/>
    <w:rsid w:val="003145ED"/>
    <w:rsid w:val="00315C77"/>
    <w:rsid w:val="003175EB"/>
    <w:rsid w:val="003313F6"/>
    <w:rsid w:val="0033168A"/>
    <w:rsid w:val="00335CD9"/>
    <w:rsid w:val="00340F54"/>
    <w:rsid w:val="0035681D"/>
    <w:rsid w:val="003A7311"/>
    <w:rsid w:val="003B471C"/>
    <w:rsid w:val="003D10AB"/>
    <w:rsid w:val="003D4000"/>
    <w:rsid w:val="003F1EFD"/>
    <w:rsid w:val="003F4249"/>
    <w:rsid w:val="00401C75"/>
    <w:rsid w:val="0040761B"/>
    <w:rsid w:val="00422C3F"/>
    <w:rsid w:val="004354AC"/>
    <w:rsid w:val="00446E1A"/>
    <w:rsid w:val="004847CA"/>
    <w:rsid w:val="004B7714"/>
    <w:rsid w:val="004D2D62"/>
    <w:rsid w:val="004D30D5"/>
    <w:rsid w:val="004D438B"/>
    <w:rsid w:val="004E235F"/>
    <w:rsid w:val="0051012E"/>
    <w:rsid w:val="005142E6"/>
    <w:rsid w:val="00522C71"/>
    <w:rsid w:val="00534552"/>
    <w:rsid w:val="00540D49"/>
    <w:rsid w:val="00540E5C"/>
    <w:rsid w:val="005451ED"/>
    <w:rsid w:val="00550A79"/>
    <w:rsid w:val="00551DE0"/>
    <w:rsid w:val="0055367B"/>
    <w:rsid w:val="0057409D"/>
    <w:rsid w:val="005769D4"/>
    <w:rsid w:val="00584777"/>
    <w:rsid w:val="00587242"/>
    <w:rsid w:val="005A1232"/>
    <w:rsid w:val="005A32ED"/>
    <w:rsid w:val="005A3AA1"/>
    <w:rsid w:val="005A4D27"/>
    <w:rsid w:val="005B0FAF"/>
    <w:rsid w:val="005B14CE"/>
    <w:rsid w:val="005B6538"/>
    <w:rsid w:val="005C37AB"/>
    <w:rsid w:val="005F35E2"/>
    <w:rsid w:val="00601A75"/>
    <w:rsid w:val="00603405"/>
    <w:rsid w:val="00606D7C"/>
    <w:rsid w:val="00616F70"/>
    <w:rsid w:val="00622DE5"/>
    <w:rsid w:val="00636BE0"/>
    <w:rsid w:val="0064363E"/>
    <w:rsid w:val="0065711B"/>
    <w:rsid w:val="00667188"/>
    <w:rsid w:val="006811D6"/>
    <w:rsid w:val="00690392"/>
    <w:rsid w:val="00697F98"/>
    <w:rsid w:val="006A6925"/>
    <w:rsid w:val="006B5E1D"/>
    <w:rsid w:val="006C0B09"/>
    <w:rsid w:val="006C326A"/>
    <w:rsid w:val="006C40E9"/>
    <w:rsid w:val="006C604C"/>
    <w:rsid w:val="006D3303"/>
    <w:rsid w:val="006D5CB7"/>
    <w:rsid w:val="006E3675"/>
    <w:rsid w:val="006E5AD8"/>
    <w:rsid w:val="00701F28"/>
    <w:rsid w:val="00705135"/>
    <w:rsid w:val="00706B8E"/>
    <w:rsid w:val="00715AF3"/>
    <w:rsid w:val="00720C1E"/>
    <w:rsid w:val="00734F30"/>
    <w:rsid w:val="007410E7"/>
    <w:rsid w:val="007420D8"/>
    <w:rsid w:val="007439D6"/>
    <w:rsid w:val="00766050"/>
    <w:rsid w:val="00771B54"/>
    <w:rsid w:val="007728C1"/>
    <w:rsid w:val="00777916"/>
    <w:rsid w:val="00780167"/>
    <w:rsid w:val="00795E19"/>
    <w:rsid w:val="007B0FD7"/>
    <w:rsid w:val="007B3715"/>
    <w:rsid w:val="007B4F51"/>
    <w:rsid w:val="007B6DE7"/>
    <w:rsid w:val="007C0373"/>
    <w:rsid w:val="007C0CF9"/>
    <w:rsid w:val="007D2169"/>
    <w:rsid w:val="007D2459"/>
    <w:rsid w:val="007E2AB2"/>
    <w:rsid w:val="007E3534"/>
    <w:rsid w:val="007E36D1"/>
    <w:rsid w:val="007E6663"/>
    <w:rsid w:val="008019FD"/>
    <w:rsid w:val="008034F8"/>
    <w:rsid w:val="00812683"/>
    <w:rsid w:val="00812E5D"/>
    <w:rsid w:val="00820A3A"/>
    <w:rsid w:val="00827228"/>
    <w:rsid w:val="0082722E"/>
    <w:rsid w:val="008433E2"/>
    <w:rsid w:val="00846702"/>
    <w:rsid w:val="008553EB"/>
    <w:rsid w:val="0086333F"/>
    <w:rsid w:val="00870A2D"/>
    <w:rsid w:val="00877A4B"/>
    <w:rsid w:val="008844BF"/>
    <w:rsid w:val="0088546A"/>
    <w:rsid w:val="00890C59"/>
    <w:rsid w:val="00890E2F"/>
    <w:rsid w:val="008938E5"/>
    <w:rsid w:val="008B4536"/>
    <w:rsid w:val="008C4AC3"/>
    <w:rsid w:val="008C7867"/>
    <w:rsid w:val="00906685"/>
    <w:rsid w:val="00910E0F"/>
    <w:rsid w:val="0091690E"/>
    <w:rsid w:val="00921538"/>
    <w:rsid w:val="00947238"/>
    <w:rsid w:val="009572FC"/>
    <w:rsid w:val="009624FC"/>
    <w:rsid w:val="0096461D"/>
    <w:rsid w:val="009953AF"/>
    <w:rsid w:val="00996E34"/>
    <w:rsid w:val="009A6E2B"/>
    <w:rsid w:val="009B4FAC"/>
    <w:rsid w:val="009C20D3"/>
    <w:rsid w:val="009D40F3"/>
    <w:rsid w:val="009E5835"/>
    <w:rsid w:val="009F359F"/>
    <w:rsid w:val="009F4E01"/>
    <w:rsid w:val="00A06A2B"/>
    <w:rsid w:val="00A07090"/>
    <w:rsid w:val="00A11AD7"/>
    <w:rsid w:val="00A1286B"/>
    <w:rsid w:val="00A12E9F"/>
    <w:rsid w:val="00A240CA"/>
    <w:rsid w:val="00A37C1D"/>
    <w:rsid w:val="00A40D86"/>
    <w:rsid w:val="00A43208"/>
    <w:rsid w:val="00A47920"/>
    <w:rsid w:val="00A502EF"/>
    <w:rsid w:val="00A55E61"/>
    <w:rsid w:val="00A66804"/>
    <w:rsid w:val="00A75EED"/>
    <w:rsid w:val="00A7779B"/>
    <w:rsid w:val="00A878E2"/>
    <w:rsid w:val="00A949CB"/>
    <w:rsid w:val="00A962A7"/>
    <w:rsid w:val="00AA08DB"/>
    <w:rsid w:val="00AA2FEA"/>
    <w:rsid w:val="00AA7C22"/>
    <w:rsid w:val="00AB0A73"/>
    <w:rsid w:val="00AB5EB2"/>
    <w:rsid w:val="00AC3839"/>
    <w:rsid w:val="00AE2E8F"/>
    <w:rsid w:val="00AF5760"/>
    <w:rsid w:val="00AF6352"/>
    <w:rsid w:val="00B05649"/>
    <w:rsid w:val="00B1723C"/>
    <w:rsid w:val="00B177FE"/>
    <w:rsid w:val="00B264C1"/>
    <w:rsid w:val="00B31B65"/>
    <w:rsid w:val="00B36178"/>
    <w:rsid w:val="00B4532F"/>
    <w:rsid w:val="00B46232"/>
    <w:rsid w:val="00B65559"/>
    <w:rsid w:val="00B775D3"/>
    <w:rsid w:val="00B85EE2"/>
    <w:rsid w:val="00B9196B"/>
    <w:rsid w:val="00B92AC8"/>
    <w:rsid w:val="00BF2B7B"/>
    <w:rsid w:val="00BF71C2"/>
    <w:rsid w:val="00C26F53"/>
    <w:rsid w:val="00C330CB"/>
    <w:rsid w:val="00C3675D"/>
    <w:rsid w:val="00C419C1"/>
    <w:rsid w:val="00C51E49"/>
    <w:rsid w:val="00C521F9"/>
    <w:rsid w:val="00C63351"/>
    <w:rsid w:val="00C71253"/>
    <w:rsid w:val="00C734F9"/>
    <w:rsid w:val="00C87365"/>
    <w:rsid w:val="00C93FF6"/>
    <w:rsid w:val="00CC20B0"/>
    <w:rsid w:val="00CD3069"/>
    <w:rsid w:val="00CE163F"/>
    <w:rsid w:val="00D01C38"/>
    <w:rsid w:val="00D06286"/>
    <w:rsid w:val="00D07C05"/>
    <w:rsid w:val="00D21279"/>
    <w:rsid w:val="00D23C57"/>
    <w:rsid w:val="00D43AA2"/>
    <w:rsid w:val="00D44EC4"/>
    <w:rsid w:val="00D518DB"/>
    <w:rsid w:val="00D54ED0"/>
    <w:rsid w:val="00D55ECB"/>
    <w:rsid w:val="00D67721"/>
    <w:rsid w:val="00D758CE"/>
    <w:rsid w:val="00D76A86"/>
    <w:rsid w:val="00D84DCD"/>
    <w:rsid w:val="00D927D4"/>
    <w:rsid w:val="00DB611F"/>
    <w:rsid w:val="00DD2795"/>
    <w:rsid w:val="00DD38DD"/>
    <w:rsid w:val="00DD4DE2"/>
    <w:rsid w:val="00DD520D"/>
    <w:rsid w:val="00DF0164"/>
    <w:rsid w:val="00DF54AA"/>
    <w:rsid w:val="00E07D33"/>
    <w:rsid w:val="00E07DD8"/>
    <w:rsid w:val="00E12909"/>
    <w:rsid w:val="00E12DDE"/>
    <w:rsid w:val="00E143B6"/>
    <w:rsid w:val="00E30CFF"/>
    <w:rsid w:val="00E55186"/>
    <w:rsid w:val="00E615F1"/>
    <w:rsid w:val="00E63146"/>
    <w:rsid w:val="00E64A1D"/>
    <w:rsid w:val="00E70CDC"/>
    <w:rsid w:val="00E74920"/>
    <w:rsid w:val="00E81EE5"/>
    <w:rsid w:val="00E91F21"/>
    <w:rsid w:val="00E9599B"/>
    <w:rsid w:val="00EB6956"/>
    <w:rsid w:val="00EF0D22"/>
    <w:rsid w:val="00F13C69"/>
    <w:rsid w:val="00F41395"/>
    <w:rsid w:val="00F41DF6"/>
    <w:rsid w:val="00F52245"/>
    <w:rsid w:val="00F5569F"/>
    <w:rsid w:val="00F60308"/>
    <w:rsid w:val="00F640D0"/>
    <w:rsid w:val="00F75389"/>
    <w:rsid w:val="00F903E8"/>
    <w:rsid w:val="00F9297E"/>
    <w:rsid w:val="00FA0C8C"/>
    <w:rsid w:val="00FB26DA"/>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E5D"/>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812E5D"/>
    <w:pPr>
      <w:ind w:left="3686"/>
    </w:pPr>
  </w:style>
  <w:style w:type="paragraph" w:styleId="Encabezado">
    <w:name w:val="header"/>
    <w:basedOn w:val="Normal"/>
    <w:link w:val="EncabezadoCar"/>
    <w:uiPriority w:val="99"/>
    <w:rsid w:val="00812E5D"/>
    <w:pPr>
      <w:tabs>
        <w:tab w:val="center" w:pos="4419"/>
        <w:tab w:val="right" w:pos="8838"/>
      </w:tabs>
    </w:pPr>
  </w:style>
  <w:style w:type="paragraph" w:styleId="Piedepgina">
    <w:name w:val="footer"/>
    <w:basedOn w:val="Normal"/>
    <w:rsid w:val="00812E5D"/>
    <w:pPr>
      <w:tabs>
        <w:tab w:val="center" w:pos="4419"/>
        <w:tab w:val="right" w:pos="8838"/>
      </w:tabs>
    </w:pPr>
  </w:style>
  <w:style w:type="character" w:styleId="Nmerodepgina">
    <w:name w:val="page number"/>
    <w:basedOn w:val="Fuentedeprrafopredeter"/>
    <w:rsid w:val="00812E5D"/>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9572FC"/>
    <w:rPr>
      <w:rFonts w:ascii="Tahoma" w:hAnsi="Tahoma" w:cs="Tahoma"/>
      <w:sz w:val="16"/>
      <w:szCs w:val="16"/>
    </w:rPr>
  </w:style>
  <w:style w:type="character" w:customStyle="1" w:styleId="TextodegloboCar">
    <w:name w:val="Texto de globo Car"/>
    <w:basedOn w:val="Fuentedeprrafopredeter"/>
    <w:link w:val="Textodeglobo"/>
    <w:uiPriority w:val="99"/>
    <w:semiHidden/>
    <w:rsid w:val="009572FC"/>
    <w:rPr>
      <w:rFonts w:ascii="Tahoma" w:hAnsi="Tahoma" w:cs="Tahoma"/>
      <w:sz w:val="16"/>
      <w:szCs w:val="16"/>
      <w:lang w:val="es-ES_tradnl"/>
    </w:rPr>
  </w:style>
  <w:style w:type="table" w:styleId="Tablaconcuadrcula">
    <w:name w:val="Table Grid"/>
    <w:basedOn w:val="Tablanormal"/>
    <w:uiPriority w:val="59"/>
    <w:rsid w:val="008C7867"/>
    <w:rPr>
      <w:rFonts w:asciiTheme="minorHAnsi" w:eastAsiaTheme="minorHAnsi" w:hAnsiTheme="minorHAnsi" w:cstheme="minorBidi"/>
      <w:sz w:val="22"/>
      <w:szCs w:val="22"/>
      <w:lang w:val="es-AR"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palermo\AppData\Roaming\Microsoft\Plantillas\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50B935-1496-44B0-81C5-C7ED6EFA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Template>
  <TotalTime>4</TotalTime>
  <Pages>6</Pages>
  <Words>970</Words>
  <Characters>5498</Characters>
  <Application>Microsoft Office Word</Application>
  <DocSecurity>0</DocSecurity>
  <Lines>158</Lines>
  <Paragraphs>54</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vipalermo</dc:creator>
  <cp:lastModifiedBy>vipalermo</cp:lastModifiedBy>
  <cp:revision>5</cp:revision>
  <cp:lastPrinted>2025-10-28T17:12:00Z</cp:lastPrinted>
  <dcterms:created xsi:type="dcterms:W3CDTF">2025-11-03T14:51:00Z</dcterms:created>
  <dcterms:modified xsi:type="dcterms:W3CDTF">2025-11-03T14:54:00Z</dcterms:modified>
</cp:coreProperties>
</file>