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jc w:val="center"/>
        <w:rPr>
          <w:b/>
          <w:lang w:val="es-MX"/>
        </w:rPr>
      </w:pPr>
      <w:r w:rsidRPr="004D134B">
        <w:rPr>
          <w:b/>
          <w:lang w:val="es-MX"/>
        </w:rPr>
        <w:t>EXPEDIENTE Nro. 1891-D-2025</w:t>
      </w:r>
    </w:p>
    <w:p w:rsidR="00805FB0" w:rsidRPr="004D134B" w:rsidRDefault="00805FB0" w:rsidP="004D134B">
      <w:pPr>
        <w:rPr>
          <w:lang w:val="es-MX"/>
        </w:rPr>
      </w:pPr>
    </w:p>
    <w:p w:rsidR="00805FB0" w:rsidRPr="004D134B" w:rsidRDefault="00805FB0" w:rsidP="004D134B">
      <w:pPr>
        <w:rPr>
          <w:lang w:val="es-MX"/>
        </w:rPr>
      </w:pPr>
      <w:r w:rsidRPr="004D134B">
        <w:rPr>
          <w:lang w:val="es-MX"/>
        </w:rPr>
        <w:t>Legislatura de la Ciudad Autónoma de Buenos Aires</w:t>
      </w:r>
    </w:p>
    <w:p w:rsidR="00805FB0" w:rsidRPr="004D134B" w:rsidRDefault="00805FB0" w:rsidP="004D134B">
      <w:pPr>
        <w:rPr>
          <w:lang w:val="es-MX"/>
        </w:rPr>
      </w:pPr>
    </w:p>
    <w:p w:rsidR="00805FB0" w:rsidRPr="004D134B" w:rsidRDefault="00805FB0" w:rsidP="004D134B">
      <w:pPr>
        <w:rPr>
          <w:lang w:val="es-MX"/>
        </w:rPr>
      </w:pPr>
      <w:r w:rsidRPr="004D134B">
        <w:rPr>
          <w:b/>
          <w:lang w:val="es-MX"/>
        </w:rPr>
        <w:t>Visto</w:t>
      </w:r>
      <w:r w:rsidRPr="004D134B">
        <w:rPr>
          <w:lang w:val="es-MX"/>
        </w:rPr>
        <w:t>:</w:t>
      </w:r>
    </w:p>
    <w:p w:rsidR="00805FB0" w:rsidRPr="004D134B" w:rsidRDefault="00805FB0" w:rsidP="004D134B">
      <w:pPr>
        <w:rPr>
          <w:lang w:val="es-MX"/>
        </w:rPr>
      </w:pPr>
    </w:p>
    <w:p w:rsidR="00805FB0" w:rsidRPr="004D134B" w:rsidRDefault="00805FB0" w:rsidP="004D134B">
      <w:r w:rsidRPr="004D134B">
        <w:rPr>
          <w:lang w:val="es-MX"/>
        </w:rPr>
        <w:tab/>
        <w:t xml:space="preserve">El Expediente N° 1891-D-2025 de autoría del Diputado Juan Facundo Del </w:t>
      </w:r>
      <w:proofErr w:type="spellStart"/>
      <w:r w:rsidRPr="004D134B">
        <w:rPr>
          <w:lang w:val="es-MX"/>
        </w:rPr>
        <w:t>Gaiso</w:t>
      </w:r>
      <w:proofErr w:type="spellEnd"/>
      <w:r w:rsidRPr="004D134B">
        <w:rPr>
          <w:lang w:val="es-MX"/>
        </w:rPr>
        <w:t xml:space="preserve">, por el cual se propicia otorgar a la </w:t>
      </w:r>
      <w:r w:rsidRPr="004D134B">
        <w:t xml:space="preserve">Parroquia Nuestra Señora de Luján Porteño, dependiente del Arzobispado de Buenos Aires, el uso a título precario y gratuito por el término de veinte (20) años, computados a partir del vencimiento del plazo del comodato aprobado mediante Acta del Directorio del Instituto de la Vivienda de la Ciudad ACDIR-2023-8152-GCBA-IVC, del inmueble ubicado en la calle Pergamino 952 entre la Avenida Francisco Bilbao y la calle Gregorio de </w:t>
      </w:r>
      <w:proofErr w:type="spellStart"/>
      <w:r w:rsidRPr="004D134B">
        <w:t>Laferrere</w:t>
      </w:r>
      <w:proofErr w:type="spellEnd"/>
      <w:r w:rsidRPr="004D134B">
        <w:t>, Nomenclatura Catastral: Circunscripción: I, Sección: 54, Manzana: 198, Parcela: 14d</w:t>
      </w:r>
      <w:r w:rsidRPr="004D134B">
        <w:rPr>
          <w:lang w:val="es-MX"/>
        </w:rPr>
        <w:t>, y</w:t>
      </w:r>
    </w:p>
    <w:p w:rsidR="00805FB0" w:rsidRPr="004D134B" w:rsidRDefault="00805FB0" w:rsidP="004D134B">
      <w:pPr>
        <w:rPr>
          <w:lang w:val="es-MX"/>
        </w:rPr>
      </w:pPr>
    </w:p>
    <w:p w:rsidR="00805FB0" w:rsidRPr="004D134B" w:rsidRDefault="00805FB0" w:rsidP="004D134B">
      <w:pPr>
        <w:rPr>
          <w:lang w:val="es-MX"/>
        </w:rPr>
      </w:pPr>
      <w:r w:rsidRPr="004D134B">
        <w:rPr>
          <w:b/>
          <w:lang w:val="es-MX"/>
        </w:rPr>
        <w:t>Considerando</w:t>
      </w:r>
      <w:r w:rsidRPr="004D134B">
        <w:rPr>
          <w:lang w:val="es-MX"/>
        </w:rPr>
        <w:t>:</w:t>
      </w:r>
    </w:p>
    <w:p w:rsidR="00805FB0" w:rsidRPr="004D134B" w:rsidRDefault="00805FB0" w:rsidP="004D134B">
      <w:pPr>
        <w:rPr>
          <w:lang w:val="es-MX"/>
        </w:rPr>
      </w:pPr>
    </w:p>
    <w:p w:rsidR="00805FB0" w:rsidRPr="004D134B" w:rsidRDefault="00805FB0" w:rsidP="004D134B">
      <w:pPr>
        <w:ind w:firstLine="708"/>
        <w:rPr>
          <w:lang w:val="es-MX"/>
        </w:rPr>
      </w:pPr>
      <w:r w:rsidRPr="004D134B">
        <w:rPr>
          <w:lang w:val="es-MX"/>
        </w:rPr>
        <w:t>Que vuelve a esta Comisión el presente expediente habiéndose realizado la primera lectura.</w:t>
      </w:r>
    </w:p>
    <w:p w:rsidR="00805FB0" w:rsidRPr="004D134B" w:rsidRDefault="00805FB0" w:rsidP="004D134B">
      <w:pPr>
        <w:rPr>
          <w:lang w:val="es-MX"/>
        </w:rPr>
      </w:pPr>
    </w:p>
    <w:p w:rsidR="00805FB0" w:rsidRPr="004D134B" w:rsidRDefault="00805FB0" w:rsidP="004D134B">
      <w:pPr>
        <w:ind w:firstLine="708"/>
        <w:rPr>
          <w:lang w:val="es-MX"/>
        </w:rPr>
      </w:pPr>
      <w:r w:rsidRPr="004D134B">
        <w:rPr>
          <w:lang w:val="es-MX"/>
        </w:rPr>
        <w:t xml:space="preserve">Que con fecha 4 de septiembre de 2025 se aprobó la Ley Inicial que proponía otorgar a la </w:t>
      </w:r>
      <w:r w:rsidRPr="004D134B">
        <w:t xml:space="preserve">Parroquia Nuestra Señora de Luján Porteño, dependiente del Arzobispado de Buenos Aires, el uso a título precario y gratuito por el término de veinte (20) años, computados a partir del vencimiento del plazo del comodato aprobado mediante Acta del Directorio del Instituto de la Vivienda de la Ciudad ACDIR-2023-8152-GCBA-IVC, del inmueble ubicado en la calle Pergamino 952 entre la Avenida Francisco Bilbao y la calle Gregorio de </w:t>
      </w:r>
      <w:proofErr w:type="spellStart"/>
      <w:r w:rsidRPr="004D134B">
        <w:t>Laferrere</w:t>
      </w:r>
      <w:proofErr w:type="spellEnd"/>
      <w:r w:rsidRPr="004D134B">
        <w:t>, Nomenclatura Catastral: Circunscripción: I, Sección: 54, Manzana: 198, Parcela: 14d</w:t>
      </w:r>
      <w:r w:rsidRPr="004D134B">
        <w:rPr>
          <w:lang w:val="es-MX"/>
        </w:rPr>
        <w:t>.</w:t>
      </w: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ind w:firstLine="708"/>
        <w:rPr>
          <w:lang w:val="es-MX"/>
        </w:rPr>
      </w:pPr>
      <w:r w:rsidRPr="004D134B">
        <w:rPr>
          <w:lang w:val="es-MX"/>
        </w:rPr>
        <w:t>Que se dio cumplimiento con lo dispuesto por los arts. 89 y 90 de la Constitución de la Ciudad, efectuándose el procedimiento de doble lectura y la celebración de Audiencia Pública,  que tuvo lugar el día 12 de Noviembre de 2025.</w:t>
      </w:r>
    </w:p>
    <w:p w:rsidR="00805FB0" w:rsidRPr="004D134B" w:rsidRDefault="00805FB0" w:rsidP="004D134B">
      <w:pPr>
        <w:ind w:firstLine="708"/>
        <w:rPr>
          <w:lang w:val="es-MX"/>
        </w:rPr>
      </w:pPr>
    </w:p>
    <w:p w:rsidR="00805FB0" w:rsidRPr="004D134B" w:rsidRDefault="00805FB0" w:rsidP="004D134B">
      <w:pPr>
        <w:ind w:firstLine="708"/>
        <w:rPr>
          <w:lang w:val="es-MX"/>
        </w:rPr>
      </w:pPr>
      <w:r w:rsidRPr="004D134B">
        <w:rPr>
          <w:lang w:val="es-MX"/>
        </w:rPr>
        <w:t xml:space="preserve">  Por lo expuesto, esta Comisión de Presupuesto, Hacienda, Administración Financiera y Política Tributaria pone a consideración del Cuerpo la siguiente:</w:t>
      </w: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rPr>
          <w:lang w:val="es-MX"/>
        </w:rPr>
      </w:pPr>
    </w:p>
    <w:p w:rsidR="00805FB0" w:rsidRPr="004D134B" w:rsidRDefault="00805FB0" w:rsidP="004D134B">
      <w:pPr>
        <w:jc w:val="center"/>
        <w:rPr>
          <w:b/>
          <w:lang w:val="es-MX"/>
        </w:rPr>
      </w:pPr>
      <w:r w:rsidRPr="004D134B">
        <w:rPr>
          <w:b/>
          <w:lang w:val="es-MX"/>
        </w:rPr>
        <w:t>LEY</w:t>
      </w:r>
    </w:p>
    <w:p w:rsidR="00805FB0" w:rsidRPr="004D134B" w:rsidRDefault="00805FB0" w:rsidP="004D134B">
      <w:pPr>
        <w:rPr>
          <w:b/>
          <w:lang w:val="es-MX"/>
        </w:rPr>
      </w:pPr>
    </w:p>
    <w:p w:rsidR="00805FB0" w:rsidRPr="004D134B" w:rsidRDefault="00805FB0" w:rsidP="004D134B">
      <w:pPr>
        <w:rPr>
          <w:lang w:val="es-MX"/>
        </w:rPr>
      </w:pPr>
    </w:p>
    <w:p w:rsidR="00805FB0" w:rsidRPr="004D134B" w:rsidRDefault="00805FB0" w:rsidP="004D134B">
      <w:r w:rsidRPr="004D134B">
        <w:rPr>
          <w:b/>
        </w:rPr>
        <w:t>Artículo 1°.-</w:t>
      </w:r>
      <w:r w:rsidRPr="004D134B">
        <w:t xml:space="preserve"> </w:t>
      </w:r>
      <w:proofErr w:type="spellStart"/>
      <w:r w:rsidRPr="004D134B">
        <w:t>Otórgase</w:t>
      </w:r>
      <w:proofErr w:type="spellEnd"/>
      <w:r w:rsidRPr="004D134B">
        <w:t xml:space="preserve"> a la Parroquia Nuestra Señora de Luján Porteño, dependiente del Arzobispado de Buenos Aires, el uso a título precario y gratuito por el término de veinte (20) años, computados a partir del vencimiento del plazo del comodato aprobado mediante Acta del Directorio del Instituto de la Vivienda de la Ciudad ACDIR-2023-8152-GCBA-IVC, del inmueble ubicado en la calle Pergamino 952 entre la Avenida Francisco Bilbao y la calle Gregorio de </w:t>
      </w:r>
      <w:proofErr w:type="spellStart"/>
      <w:r w:rsidRPr="004D134B">
        <w:t>Laferrere</w:t>
      </w:r>
      <w:proofErr w:type="spellEnd"/>
      <w:r w:rsidRPr="004D134B">
        <w:t xml:space="preserve">, Nomenclatura Catastral: Circunscripción: I, Sección: 54, Manzana: 198, Parcela: 14d, de acuerdo a las condiciones establecidas en la presente Ley. </w:t>
      </w:r>
    </w:p>
    <w:p w:rsidR="00805FB0" w:rsidRPr="004D134B" w:rsidRDefault="00805FB0" w:rsidP="004D134B"/>
    <w:p w:rsidR="00805FB0" w:rsidRPr="004D134B" w:rsidRDefault="00805FB0" w:rsidP="004D134B">
      <w:r w:rsidRPr="004D134B">
        <w:rPr>
          <w:b/>
        </w:rPr>
        <w:lastRenderedPageBreak/>
        <w:t>Artículo 2°.-</w:t>
      </w:r>
      <w:r w:rsidRPr="004D134B">
        <w:t xml:space="preserve"> La entidad beneficiaria proporcionará al Instituto de la Vivienda de la Ciudad, ante su requerimiento, el uso gratuito y sin condiciones de las instalaciones que pudieran requerir las acciones de ejecución de políticas públicas del Estado.</w:t>
      </w:r>
    </w:p>
    <w:p w:rsidR="00805FB0" w:rsidRPr="004D134B" w:rsidRDefault="00805FB0" w:rsidP="004D134B"/>
    <w:p w:rsidR="00805FB0" w:rsidRPr="004D134B" w:rsidRDefault="00805FB0" w:rsidP="004D134B">
      <w:r w:rsidRPr="004D134B">
        <w:t xml:space="preserve"> </w:t>
      </w:r>
      <w:r w:rsidRPr="004D134B">
        <w:rPr>
          <w:b/>
        </w:rPr>
        <w:t>Artículo 3°.</w:t>
      </w:r>
      <w:r w:rsidRPr="004D134B">
        <w:t xml:space="preserve">- La beneficiaria mencionada en el artículo 1º destinará el predio cuyo uso se otorga por la presente, al desarrollo de actividades sociales, culturales, deportivas y recreativas entre otras, siempre que contribuyan a paliar la problemática social existente en el barrio, y/o que colaboren con la labor pastoral y social desarrollada por la entidad beneficiaria, pudiendo también utilizar dicho predio para actividades afines a su labor pastoral tendientes a estimular la participación ciudadana y los procesos de integración social y religiosa del barrio. </w:t>
      </w:r>
    </w:p>
    <w:p w:rsidR="00805FB0" w:rsidRPr="004D134B" w:rsidRDefault="00805FB0" w:rsidP="004D134B"/>
    <w:p w:rsidR="00805FB0" w:rsidRPr="004D134B" w:rsidRDefault="00805FB0" w:rsidP="004D134B">
      <w:r w:rsidRPr="004D134B">
        <w:rPr>
          <w:b/>
        </w:rPr>
        <w:t>Artículo 4º.-</w:t>
      </w:r>
      <w:r w:rsidRPr="004D134B">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 </w:t>
      </w:r>
    </w:p>
    <w:p w:rsidR="00805FB0" w:rsidRPr="004D134B" w:rsidRDefault="00805FB0" w:rsidP="004D134B"/>
    <w:p w:rsidR="00805FB0" w:rsidRPr="004D134B" w:rsidRDefault="00805FB0" w:rsidP="004D134B"/>
    <w:p w:rsidR="00805FB0" w:rsidRPr="004D134B" w:rsidRDefault="00805FB0" w:rsidP="004D134B">
      <w:r w:rsidRPr="004D134B">
        <w:rPr>
          <w:b/>
        </w:rPr>
        <w:t>Artículo 5°.-</w:t>
      </w:r>
      <w:r w:rsidRPr="004D134B">
        <w:t xml:space="preserve"> Toda mejora que realice la entidad beneficiaria en el predio queda incorporada al dominio del Instituto de la Vivienda de la Ciudad a la extinción del permiso, sin derecho a indemnización de ninguna naturaleza por parte de la entidad beneficiaria.</w:t>
      </w:r>
    </w:p>
    <w:p w:rsidR="00805FB0" w:rsidRPr="004D134B" w:rsidRDefault="00805FB0" w:rsidP="004D134B"/>
    <w:p w:rsidR="00805FB0" w:rsidRPr="004D134B" w:rsidRDefault="00805FB0" w:rsidP="004D134B">
      <w:r w:rsidRPr="004D134B">
        <w:t xml:space="preserve"> </w:t>
      </w:r>
      <w:r w:rsidRPr="004D134B">
        <w:rPr>
          <w:b/>
        </w:rPr>
        <w:t>Artículo 6°.-</w:t>
      </w:r>
      <w:r w:rsidRPr="004D134B">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805FB0" w:rsidRPr="004D134B" w:rsidRDefault="00805FB0" w:rsidP="004D134B"/>
    <w:p w:rsidR="00805FB0" w:rsidRPr="004D134B" w:rsidRDefault="00805FB0" w:rsidP="004D134B">
      <w:proofErr w:type="gramStart"/>
      <w:r w:rsidRPr="004D134B">
        <w:rPr>
          <w:b/>
        </w:rPr>
        <w:t>Artículo 7°.-</w:t>
      </w:r>
      <w:r w:rsidRPr="004D134B">
        <w:t xml:space="preserve"> Queda a cargo de la entidad beneficiaria el pago de tasas, impuestos</w:t>
      </w:r>
      <w:proofErr w:type="gramEnd"/>
      <w:r w:rsidRPr="004D134B">
        <w:t xml:space="preserve"> y las tarifas de los servicios públicos que correspondan al uso del predio. </w:t>
      </w:r>
    </w:p>
    <w:p w:rsidR="00805FB0" w:rsidRPr="004D134B" w:rsidRDefault="00805FB0" w:rsidP="004D134B"/>
    <w:p w:rsidR="00805FB0" w:rsidRPr="004D134B" w:rsidRDefault="00805FB0" w:rsidP="004D134B">
      <w:r w:rsidRPr="004D134B">
        <w:rPr>
          <w:b/>
        </w:rPr>
        <w:t>Artículo 8°.-</w:t>
      </w:r>
      <w:r w:rsidRPr="004D134B">
        <w:t xml:space="preserve"> La beneficiaria deberá cumplir con todas las normas nacionales y de la Ciudad Autónoma de Buenos Aires con relación a la habilitación del espacio y la contratación del personal a su cargo. El Instituto de la Vivienda de la Ciudad, no obstante ser titular de dominio, no tendrá relación laboral alguna con el personal que emplee la entidad y resulta exento de la solidaridad prevista por la Ley Nacional de Contrato de Trabajo. El Instituto de la Vivienda de la Ciudad no asumirá responsabilidad alguna y estará desligado de todo conflicto o litigio que eventualmente se genere por cuestiones de índole laboral entre la entidad y el personal que éste emplease. </w:t>
      </w:r>
    </w:p>
    <w:p w:rsidR="00805FB0" w:rsidRPr="004D134B" w:rsidRDefault="00805FB0" w:rsidP="004D134B"/>
    <w:p w:rsidR="00805FB0" w:rsidRPr="004D134B" w:rsidRDefault="00805FB0" w:rsidP="004D134B">
      <w:r w:rsidRPr="004D134B">
        <w:rPr>
          <w:b/>
        </w:rPr>
        <w:t>Artículo  9°.-</w:t>
      </w:r>
      <w:r w:rsidRPr="004D134B">
        <w:t xml:space="preserve"> Toda mejora que realice la entidad beneficiaria en el predio debe cumplir con las normas establecidas en el Código de Edificación vigente, y deberá contar con la habilitación correspondiente.</w:t>
      </w:r>
    </w:p>
    <w:p w:rsidR="00805FB0" w:rsidRPr="004D134B" w:rsidRDefault="00805FB0" w:rsidP="004D134B"/>
    <w:p w:rsidR="00805FB0" w:rsidRPr="004D134B" w:rsidRDefault="00805FB0" w:rsidP="004D134B">
      <w:r w:rsidRPr="004D134B">
        <w:rPr>
          <w:b/>
        </w:rPr>
        <w:t>Artículo  10°.-</w:t>
      </w:r>
      <w:r w:rsidRPr="004D134B">
        <w:t xml:space="preserve"> La restitución del predio por cumplimiento del plazo establecido en el Artículo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805FB0" w:rsidRPr="004D134B" w:rsidRDefault="00805FB0" w:rsidP="004D134B"/>
    <w:p w:rsidR="00805FB0" w:rsidRPr="004D134B" w:rsidRDefault="00805FB0" w:rsidP="004D134B">
      <w:pPr>
        <w:rPr>
          <w:lang w:val="es-MX"/>
        </w:rPr>
      </w:pPr>
      <w:r w:rsidRPr="004D134B">
        <w:rPr>
          <w:b/>
          <w:lang w:val="es-MX"/>
        </w:rPr>
        <w:t>Artículo 11°.-</w:t>
      </w:r>
      <w:r w:rsidRPr="004D134B">
        <w:rPr>
          <w:lang w:val="es-MX"/>
        </w:rPr>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805FB0" w:rsidRPr="004D134B" w:rsidRDefault="00805FB0" w:rsidP="004D134B">
      <w:pPr>
        <w:rPr>
          <w:lang w:val="es-MX"/>
        </w:rPr>
      </w:pPr>
    </w:p>
    <w:p w:rsidR="00805FB0" w:rsidRPr="004D134B" w:rsidRDefault="00805FB0" w:rsidP="004D134B">
      <w:pPr>
        <w:rPr>
          <w:lang w:val="es-MX"/>
        </w:rPr>
      </w:pPr>
      <w:r w:rsidRPr="004D134B">
        <w:rPr>
          <w:b/>
          <w:lang w:val="es-MX"/>
        </w:rPr>
        <w:lastRenderedPageBreak/>
        <w:t>Artículo 12º.-</w:t>
      </w:r>
      <w:r w:rsidRPr="004D134B">
        <w:rPr>
          <w:lang w:val="es-MX"/>
        </w:rPr>
        <w:t xml:space="preserve"> Anualmente el Poder Ejecutivo realizará visitas a fin de constatar evaluar el cumplimiento de la presente norma.</w:t>
      </w:r>
    </w:p>
    <w:p w:rsidR="00805FB0" w:rsidRPr="004D134B" w:rsidRDefault="00805FB0" w:rsidP="004D134B">
      <w:pPr>
        <w:rPr>
          <w:lang w:val="es-MX"/>
        </w:rPr>
      </w:pPr>
    </w:p>
    <w:p w:rsidR="00805FB0" w:rsidRPr="004D134B" w:rsidRDefault="00805FB0" w:rsidP="004D134B">
      <w:r w:rsidRPr="004D134B">
        <w:rPr>
          <w:b/>
        </w:rPr>
        <w:t>Artículo 13°.-</w:t>
      </w:r>
      <w:r w:rsidRPr="004D134B">
        <w:t xml:space="preserve">  La entidad beneficiaria no puede instalar </w:t>
      </w:r>
      <w:proofErr w:type="spellStart"/>
      <w:r w:rsidRPr="004D134B">
        <w:t>cartelería</w:t>
      </w:r>
      <w:proofErr w:type="spellEnd"/>
      <w:r w:rsidRPr="004D134B">
        <w:t xml:space="preserve"> que identifique el predio otorgado por la presente ley con organismos públicos no estatales ajenos a la Institución. </w:t>
      </w:r>
    </w:p>
    <w:p w:rsidR="00805FB0" w:rsidRPr="004D134B" w:rsidRDefault="00805FB0" w:rsidP="004D134B"/>
    <w:p w:rsidR="00805FB0" w:rsidRPr="004D134B" w:rsidRDefault="00805FB0" w:rsidP="004D134B">
      <w:pPr>
        <w:rPr>
          <w:lang w:val="es-MX"/>
        </w:rPr>
      </w:pPr>
    </w:p>
    <w:p w:rsidR="00805FB0" w:rsidRPr="004D134B" w:rsidRDefault="00805FB0" w:rsidP="004D134B">
      <w:pPr>
        <w:rPr>
          <w:lang w:val="es-MX"/>
        </w:rPr>
      </w:pPr>
      <w:r w:rsidRPr="004D134B">
        <w:rPr>
          <w:b/>
          <w:lang w:val="es-MX"/>
        </w:rPr>
        <w:t>Artículo 14°.-</w:t>
      </w:r>
      <w:r w:rsidRPr="004D134B">
        <w:rPr>
          <w:lang w:val="es-MX"/>
        </w:rPr>
        <w:t xml:space="preserve"> Comuníquese, etc.</w:t>
      </w:r>
    </w:p>
    <w:p w:rsidR="00805FB0" w:rsidRPr="004D134B" w:rsidRDefault="00805FB0" w:rsidP="004D134B">
      <w:pPr>
        <w:rPr>
          <w:b/>
          <w:lang w:val="es-MX"/>
        </w:rPr>
      </w:pPr>
    </w:p>
    <w:p w:rsidR="00805FB0" w:rsidRPr="004D134B" w:rsidRDefault="00805FB0" w:rsidP="004D134B">
      <w:pPr>
        <w:rPr>
          <w:lang w:val="es-MX"/>
        </w:rPr>
      </w:pPr>
      <w:r w:rsidRPr="004D134B">
        <w:rPr>
          <w:lang w:val="es-MX"/>
        </w:rPr>
        <w:t xml:space="preserve">Sala de la Comisión: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805FB0" w:rsidRPr="004D134B" w:rsidTr="00805FB0">
        <w:trPr>
          <w:trHeight w:val="1602"/>
        </w:trPr>
        <w:tc>
          <w:tcPr>
            <w:tcW w:w="4348" w:type="dxa"/>
            <w:tcBorders>
              <w:bottom w:val="single" w:sz="4" w:space="0" w:color="FFFFFF" w:themeColor="background1"/>
            </w:tcBorders>
            <w:vAlign w:val="bottom"/>
          </w:tcPr>
          <w:p w:rsidR="00805FB0" w:rsidRPr="004D134B" w:rsidRDefault="00805FB0" w:rsidP="004D134B">
            <w:pPr>
              <w:jc w:val="center"/>
              <w:rPr>
                <w:lang w:val="es-MX"/>
              </w:rPr>
            </w:pPr>
          </w:p>
        </w:tc>
        <w:tc>
          <w:tcPr>
            <w:tcW w:w="4348" w:type="dxa"/>
            <w:tcBorders>
              <w:bottom w:val="single" w:sz="4" w:space="0" w:color="FFFFFF" w:themeColor="background1"/>
            </w:tcBorders>
            <w:vAlign w:val="bottom"/>
          </w:tcPr>
          <w:p w:rsidR="00805FB0" w:rsidRPr="004D134B" w:rsidRDefault="00805FB0" w:rsidP="004D134B">
            <w:pPr>
              <w:jc w:val="center"/>
            </w:pPr>
            <w:r w:rsidRPr="004D134B">
              <w:t>PAOLA MICHIELOTTO</w:t>
            </w:r>
          </w:p>
          <w:p w:rsidR="00805FB0" w:rsidRPr="004D134B" w:rsidRDefault="00805FB0" w:rsidP="004D134B">
            <w:pPr>
              <w:jc w:val="center"/>
              <w:rPr>
                <w:lang w:val="es-MX"/>
              </w:rPr>
            </w:pPr>
            <w:r w:rsidRPr="004D134B">
              <w:t>PRESIDENTA</w:t>
            </w:r>
          </w:p>
        </w:tc>
      </w:tr>
      <w:tr w:rsidR="00805FB0" w:rsidRPr="004D134B" w:rsidTr="00805FB0">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rPr>
                <w:szCs w:val="24"/>
              </w:rPr>
            </w:pPr>
            <w:r w:rsidRPr="004D134B">
              <w:rPr>
                <w:szCs w:val="24"/>
              </w:rPr>
              <w:t xml:space="preserve">               CLAUDIA  NEIRA</w:t>
            </w:r>
          </w:p>
          <w:p w:rsidR="00805FB0" w:rsidRPr="004D134B" w:rsidRDefault="00805FB0" w:rsidP="004D134B">
            <w:pPr>
              <w:rPr>
                <w:lang w:val="es-MX"/>
              </w:rPr>
            </w:pPr>
            <w:r w:rsidRPr="004D134B">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pPr>
            <w:r w:rsidRPr="004D134B">
              <w:t>LUCIO LAPEÑA</w:t>
            </w:r>
          </w:p>
          <w:p w:rsidR="00805FB0" w:rsidRPr="004D134B" w:rsidRDefault="00805FB0" w:rsidP="004D134B">
            <w:pPr>
              <w:jc w:val="center"/>
              <w:rPr>
                <w:lang w:val="es-MX"/>
              </w:rPr>
            </w:pPr>
            <w:r w:rsidRPr="004D134B">
              <w:t>Vicepresidente 2º</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t>MATÍAS BARROETAVEÑA</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szCs w:val="24"/>
                <w:lang w:val="es-MX"/>
              </w:rPr>
            </w:pPr>
            <w:r w:rsidRPr="004D134B">
              <w:rPr>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szCs w:val="24"/>
                <w:lang w:val="es-MX"/>
              </w:rPr>
            </w:pPr>
            <w:r w:rsidRPr="004D134B">
              <w:rPr>
                <w:szCs w:val="24"/>
                <w:lang w:val="es-MX"/>
              </w:rPr>
              <w:t>FACUNDO DEL GAISO</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t>MARÍA LUISA GONZÁLEZ ESTEVARENA</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t>MATÍAS LOPEZ</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pPr>
            <w:r w:rsidRPr="004D134B">
              <w:lastRenderedPageBreak/>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pPr>
            <w:r w:rsidRPr="004D134B">
              <w:t>JUAN PABLO MODARELLI</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t>SEBASTIÁN NAGATA</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t>MARÍA INÉS PARRY</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szCs w:val="24"/>
                <w:lang w:val="es-MX"/>
              </w:rPr>
            </w:pPr>
            <w:r w:rsidRPr="004D134B">
              <w:rPr>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lang w:val="es-MX"/>
              </w:rPr>
            </w:pPr>
            <w:r w:rsidRPr="004D134B">
              <w:rPr>
                <w:szCs w:val="24"/>
              </w:rPr>
              <w:t>SERGIO SICILIANO</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lang w:val="es-MX"/>
              </w:rPr>
            </w:pPr>
            <w:r w:rsidRPr="004D134B">
              <w:rPr>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szCs w:val="24"/>
              </w:rPr>
            </w:pPr>
            <w:r w:rsidRPr="004D134B">
              <w:rPr>
                <w:szCs w:val="24"/>
              </w:rPr>
              <w:t>JUAN MANUEL VALDÉS</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805FB0" w:rsidRPr="004D134B" w:rsidRDefault="00805FB0" w:rsidP="004D134B">
            <w:pPr>
              <w:jc w:val="center"/>
              <w:rPr>
                <w:szCs w:val="24"/>
              </w:rPr>
            </w:pPr>
            <w:r w:rsidRPr="004D134B">
              <w:rPr>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805FB0" w:rsidRPr="004D134B" w:rsidRDefault="00805FB0" w:rsidP="004D134B">
            <w:pPr>
              <w:jc w:val="center"/>
              <w:rPr>
                <w:szCs w:val="24"/>
              </w:rPr>
            </w:pPr>
            <w:r w:rsidRPr="004D134B">
              <w:rPr>
                <w:szCs w:val="24"/>
              </w:rPr>
              <w:t>FRANCO VITALI</w:t>
            </w:r>
          </w:p>
        </w:tc>
      </w:tr>
      <w:tr w:rsidR="00805FB0" w:rsidRPr="004D134B" w:rsidTr="00805FB0">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805FB0" w:rsidRPr="004D134B" w:rsidRDefault="00805FB0" w:rsidP="004D134B">
            <w:pPr>
              <w:jc w:val="center"/>
              <w:rPr>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805FB0" w:rsidRPr="004D134B" w:rsidRDefault="00805FB0" w:rsidP="004D134B">
            <w:pPr>
              <w:jc w:val="center"/>
              <w:rPr>
                <w:szCs w:val="24"/>
              </w:rPr>
            </w:pPr>
          </w:p>
        </w:tc>
      </w:tr>
    </w:tbl>
    <w:p w:rsidR="00805FB0" w:rsidRPr="004D134B" w:rsidRDefault="00805FB0" w:rsidP="004D134B"/>
    <w:p w:rsidR="00805FB0" w:rsidRPr="004D134B" w:rsidRDefault="00805FB0" w:rsidP="004D134B">
      <w:pPr>
        <w:rPr>
          <w:lang w:val="es-MX"/>
        </w:rPr>
      </w:pPr>
    </w:p>
    <w:p w:rsidR="00805FB0" w:rsidRPr="004D134B" w:rsidRDefault="00805FB0" w:rsidP="004D134B">
      <w:pPr>
        <w:rPr>
          <w:lang w:val="es-MX"/>
        </w:rPr>
      </w:pPr>
    </w:p>
    <w:p w:rsidR="00B177FE" w:rsidRPr="004D134B" w:rsidRDefault="00B177FE" w:rsidP="004D134B">
      <w:pPr>
        <w:rPr>
          <w:lang w:val="es-MX"/>
        </w:rPr>
      </w:pPr>
    </w:p>
    <w:p w:rsidR="00B177FE" w:rsidRPr="004D134B" w:rsidRDefault="00B177FE" w:rsidP="004D134B">
      <w:pPr>
        <w:rPr>
          <w:lang w:val="es-MX"/>
        </w:rPr>
      </w:pPr>
    </w:p>
    <w:p w:rsidR="00AF6352" w:rsidRPr="004D134B" w:rsidRDefault="00AF6352" w:rsidP="004D134B">
      <w:pPr>
        <w:rPr>
          <w:lang w:val="es-MX"/>
        </w:rPr>
      </w:pPr>
    </w:p>
    <w:sectPr w:rsidR="00AF6352" w:rsidRPr="004D134B"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016" w:rsidRDefault="00AB0016">
      <w:r>
        <w:separator/>
      </w:r>
    </w:p>
  </w:endnote>
  <w:endnote w:type="continuationSeparator" w:id="0">
    <w:p w:rsidR="00AB0016" w:rsidRDefault="00AB0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807276" w:rsidRDefault="00601A75">
    <w:pPr>
      <w:pStyle w:val="Piedepgina"/>
      <w:rPr>
        <w:color w:val="333333"/>
        <w:sz w:val="20"/>
      </w:rPr>
    </w:pPr>
    <w:bookmarkStart w:id="0" w:name="Despacho"/>
    <w:bookmarkEnd w:id="0"/>
  </w:p>
  <w:p w:rsidR="00601A75" w:rsidRPr="00807276" w:rsidRDefault="00601A75">
    <w:pPr>
      <w:pStyle w:val="Piedepgina"/>
      <w:rPr>
        <w:color w:val="333333"/>
        <w:sz w:val="20"/>
      </w:rPr>
    </w:pPr>
    <w:r w:rsidRPr="00807276">
      <w:rPr>
        <w:color w:val="333333"/>
        <w:sz w:val="20"/>
      </w:rPr>
      <w:t xml:space="preserve">Último cambio: </w:t>
    </w:r>
    <w:fldSimple w:instr=" SAVEDATE  \* MERGEFORMAT ">
      <w:r w:rsidR="008D3C8F" w:rsidRPr="008D3C8F">
        <w:rPr>
          <w:noProof/>
          <w:color w:val="333333"/>
          <w:sz w:val="20"/>
        </w:rPr>
        <w:t>11/11/2025 18:15:00</w:t>
      </w:r>
    </w:fldSimple>
    <w:r w:rsidRPr="00807276">
      <w:rPr>
        <w:color w:val="333333"/>
        <w:sz w:val="20"/>
      </w:rPr>
      <w:t xml:space="preserve">  -  Cantidad de caracteres: </w:t>
    </w:r>
    <w:fldSimple w:instr=" NUMCHARS  \* MERGEFORMAT ">
      <w:r w:rsidR="008D3C8F" w:rsidRPr="008D3C8F">
        <w:rPr>
          <w:noProof/>
          <w:color w:val="333333"/>
          <w:sz w:val="20"/>
        </w:rPr>
        <w:t>5837</w:t>
      </w:r>
    </w:fldSimple>
    <w:r w:rsidRPr="00807276">
      <w:rPr>
        <w:color w:val="333333"/>
        <w:sz w:val="20"/>
      </w:rPr>
      <w:t xml:space="preserve"> - Cantidad de palabras: </w:t>
    </w:r>
    <w:fldSimple w:instr=" NUMWORDS  \* MERGEFORMAT ">
      <w:r w:rsidR="008D3C8F" w:rsidRPr="008D3C8F">
        <w:rPr>
          <w:noProof/>
          <w:color w:val="333333"/>
          <w:sz w:val="20"/>
        </w:rPr>
        <w:t>1060</w:t>
      </w:r>
    </w:fldSimple>
  </w:p>
  <w:p w:rsidR="00601A75" w:rsidRPr="00807276" w:rsidRDefault="00601A75" w:rsidP="00B05649">
    <w:pPr>
      <w:pStyle w:val="Piedepgina"/>
      <w:tabs>
        <w:tab w:val="left" w:pos="3565"/>
      </w:tabs>
      <w:rPr>
        <w:rStyle w:val="Nmerodepgina"/>
        <w:color w:val="333333"/>
      </w:rPr>
    </w:pPr>
    <w:r w:rsidRPr="00807276">
      <w:rPr>
        <w:color w:val="333333"/>
        <w:sz w:val="20"/>
      </w:rPr>
      <w:tab/>
      <w:t>Pág.</w:t>
    </w:r>
    <w:r w:rsidRPr="00807276">
      <w:rPr>
        <w:color w:val="333333"/>
      </w:rPr>
      <w:t xml:space="preserve"> </w:t>
    </w:r>
    <w:r w:rsidR="00DA0094" w:rsidRPr="00807276">
      <w:rPr>
        <w:rStyle w:val="Nmerodepgina"/>
        <w:color w:val="333333"/>
      </w:rPr>
      <w:fldChar w:fldCharType="begin"/>
    </w:r>
    <w:r w:rsidRPr="00807276">
      <w:rPr>
        <w:rStyle w:val="Nmerodepgina"/>
        <w:color w:val="333333"/>
      </w:rPr>
      <w:instrText xml:space="preserve"> PAGE </w:instrText>
    </w:r>
    <w:r w:rsidR="00DA0094" w:rsidRPr="00807276">
      <w:rPr>
        <w:rStyle w:val="Nmerodepgina"/>
        <w:color w:val="333333"/>
      </w:rPr>
      <w:fldChar w:fldCharType="separate"/>
    </w:r>
    <w:r w:rsidR="008D3C8F">
      <w:rPr>
        <w:rStyle w:val="Nmerodepgina"/>
        <w:noProof/>
        <w:color w:val="333333"/>
      </w:rPr>
      <w:t>4</w:t>
    </w:r>
    <w:r w:rsidR="00DA0094" w:rsidRPr="00807276">
      <w:rPr>
        <w:rStyle w:val="Nmerodepgina"/>
        <w:color w:val="333333"/>
      </w:rPr>
      <w:fldChar w:fldCharType="end"/>
    </w:r>
    <w:r w:rsidRPr="00807276">
      <w:rPr>
        <w:rStyle w:val="Nmerodepgina"/>
        <w:color w:val="333333"/>
      </w:rPr>
      <w:t>/</w:t>
    </w:r>
    <w:fldSimple w:instr=" NUMPAGES  \* MERGEFORMAT ">
      <w:r w:rsidR="008D3C8F" w:rsidRPr="008D3C8F">
        <w:rPr>
          <w:rStyle w:val="Nmerodepgina"/>
          <w:noProof/>
          <w:color w:val="333333"/>
        </w:rPr>
        <w:t>4</w:t>
      </w:r>
    </w:fldSimple>
    <w:r w:rsidRPr="00807276">
      <w:rPr>
        <w:rStyle w:val="Nmerodepgina"/>
        <w:color w:val="333333"/>
      </w:rPr>
      <w:t xml:space="preserve"> </w:t>
    </w:r>
  </w:p>
  <w:p w:rsidR="00601A75" w:rsidRPr="00807276"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016" w:rsidRDefault="00AB0016">
      <w:r>
        <w:separator/>
      </w:r>
    </w:p>
  </w:footnote>
  <w:footnote w:type="continuationSeparator" w:id="0">
    <w:p w:rsidR="00AB0016" w:rsidRDefault="00AB0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805FB0"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EC0E37"/>
    <w:rsid w:val="00000D04"/>
    <w:rsid w:val="00001988"/>
    <w:rsid w:val="000031F8"/>
    <w:rsid w:val="00026430"/>
    <w:rsid w:val="00030DF5"/>
    <w:rsid w:val="00031446"/>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17D9"/>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134B"/>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4635"/>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05FB0"/>
    <w:rsid w:val="00807276"/>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8D3C8F"/>
    <w:rsid w:val="008E0433"/>
    <w:rsid w:val="00902A8B"/>
    <w:rsid w:val="00906685"/>
    <w:rsid w:val="00910E0F"/>
    <w:rsid w:val="0091690E"/>
    <w:rsid w:val="00947238"/>
    <w:rsid w:val="009624FC"/>
    <w:rsid w:val="0096461D"/>
    <w:rsid w:val="009953AF"/>
    <w:rsid w:val="00996E34"/>
    <w:rsid w:val="009A6E2B"/>
    <w:rsid w:val="009B4FAC"/>
    <w:rsid w:val="009C20D3"/>
    <w:rsid w:val="009C77FA"/>
    <w:rsid w:val="009E5835"/>
    <w:rsid w:val="009F4E01"/>
    <w:rsid w:val="009F4E56"/>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016"/>
    <w:rsid w:val="00AB0A73"/>
    <w:rsid w:val="00AB5EB2"/>
    <w:rsid w:val="00AC3839"/>
    <w:rsid w:val="00AE2E8F"/>
    <w:rsid w:val="00AF5760"/>
    <w:rsid w:val="00AF6352"/>
    <w:rsid w:val="00B05649"/>
    <w:rsid w:val="00B1723C"/>
    <w:rsid w:val="00B177FE"/>
    <w:rsid w:val="00B264C1"/>
    <w:rsid w:val="00B31B65"/>
    <w:rsid w:val="00B32042"/>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97992"/>
    <w:rsid w:val="00CC20B0"/>
    <w:rsid w:val="00CD3069"/>
    <w:rsid w:val="00CE163F"/>
    <w:rsid w:val="00CE24CC"/>
    <w:rsid w:val="00CE7510"/>
    <w:rsid w:val="00D00162"/>
    <w:rsid w:val="00D21279"/>
    <w:rsid w:val="00D23C57"/>
    <w:rsid w:val="00D43AA2"/>
    <w:rsid w:val="00D518DB"/>
    <w:rsid w:val="00D55ECB"/>
    <w:rsid w:val="00D67721"/>
    <w:rsid w:val="00D758CE"/>
    <w:rsid w:val="00D76A86"/>
    <w:rsid w:val="00D927D4"/>
    <w:rsid w:val="00DA0094"/>
    <w:rsid w:val="00DD2795"/>
    <w:rsid w:val="00DD3F5E"/>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C0E37"/>
    <w:rsid w:val="00ED431C"/>
    <w:rsid w:val="00EF0D22"/>
    <w:rsid w:val="00F13C69"/>
    <w:rsid w:val="00F41DF6"/>
    <w:rsid w:val="00F52245"/>
    <w:rsid w:val="00F5569F"/>
    <w:rsid w:val="00F60308"/>
    <w:rsid w:val="00F640D0"/>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94"/>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DA0094"/>
    <w:pPr>
      <w:ind w:left="3686"/>
    </w:pPr>
  </w:style>
  <w:style w:type="paragraph" w:styleId="Encabezado">
    <w:name w:val="header"/>
    <w:basedOn w:val="Normal"/>
    <w:link w:val="EncabezadoCar"/>
    <w:uiPriority w:val="99"/>
    <w:rsid w:val="00DA0094"/>
    <w:pPr>
      <w:tabs>
        <w:tab w:val="center" w:pos="4419"/>
        <w:tab w:val="right" w:pos="8838"/>
      </w:tabs>
    </w:pPr>
  </w:style>
  <w:style w:type="paragraph" w:styleId="Piedepgina">
    <w:name w:val="footer"/>
    <w:basedOn w:val="Normal"/>
    <w:rsid w:val="00DA0094"/>
    <w:pPr>
      <w:tabs>
        <w:tab w:val="center" w:pos="4419"/>
        <w:tab w:val="right" w:pos="8838"/>
      </w:tabs>
    </w:pPr>
  </w:style>
  <w:style w:type="character" w:styleId="Nmerodepgina">
    <w:name w:val="page number"/>
    <w:basedOn w:val="Fuentedeprrafopredeter"/>
    <w:rsid w:val="00DA0094"/>
  </w:style>
  <w:style w:type="character" w:customStyle="1" w:styleId="EncabezadoCar">
    <w:name w:val="Encabezado Car"/>
    <w:basedOn w:val="Fuentedeprrafopredeter"/>
    <w:link w:val="Encabezado"/>
    <w:uiPriority w:val="99"/>
    <w:rsid w:val="0033168A"/>
    <w:rPr>
      <w:sz w:val="24"/>
      <w:lang w:val="es-ES_tradnl"/>
    </w:rPr>
  </w:style>
  <w:style w:type="table" w:styleId="Tablaconcuadrcula">
    <w:name w:val="Table Grid"/>
    <w:basedOn w:val="Tablanormal"/>
    <w:uiPriority w:val="59"/>
    <w:rsid w:val="00805FB0"/>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0E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E37"/>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652C9-F04C-4FC3-B9F3-951C593C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10</TotalTime>
  <Pages>4</Pages>
  <Words>1060</Words>
  <Characters>5837</Characters>
  <Application>Microsoft Office Word</Application>
  <DocSecurity>0</DocSecurity>
  <Lines>161</Lines>
  <Paragraphs>51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18</cp:revision>
  <cp:lastPrinted>2025-11-11T21:15:00Z</cp:lastPrinted>
  <dcterms:created xsi:type="dcterms:W3CDTF">2025-11-11T20:19:00Z</dcterms:created>
  <dcterms:modified xsi:type="dcterms:W3CDTF">2025-11-11T21:17:00Z</dcterms:modified>
</cp:coreProperties>
</file>