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2C" w:rsidRPr="00316538" w:rsidRDefault="00636B2C" w:rsidP="00316538">
      <w:pPr>
        <w:rPr>
          <w:lang w:val="es-MX"/>
        </w:rPr>
      </w:pPr>
    </w:p>
    <w:p w:rsidR="00636B2C" w:rsidRPr="00316538" w:rsidRDefault="00636B2C" w:rsidP="00316538">
      <w:pPr>
        <w:rPr>
          <w:lang w:val="es-MX"/>
        </w:rPr>
      </w:pPr>
    </w:p>
    <w:p w:rsidR="00636B2C" w:rsidRPr="00316538" w:rsidRDefault="00636B2C" w:rsidP="00316538">
      <w:pPr>
        <w:rPr>
          <w:lang w:val="es-MX"/>
        </w:rPr>
      </w:pPr>
      <w:r w:rsidRPr="00316538">
        <w:rPr>
          <w:lang w:val="es-MX"/>
        </w:rPr>
        <w:t>Legislatura de la Ciudad Autónoma de Buenos Aires</w:t>
      </w:r>
    </w:p>
    <w:p w:rsidR="00636B2C" w:rsidRPr="00316538" w:rsidRDefault="00636B2C" w:rsidP="00316538">
      <w:pPr>
        <w:rPr>
          <w:lang w:val="es-MX"/>
        </w:rPr>
      </w:pPr>
    </w:p>
    <w:p w:rsidR="00636B2C" w:rsidRPr="00316538" w:rsidRDefault="00636B2C" w:rsidP="00316538">
      <w:pPr>
        <w:spacing w:before="120"/>
        <w:rPr>
          <w:szCs w:val="24"/>
          <w:lang w:val="es-MX"/>
        </w:rPr>
      </w:pPr>
      <w:r w:rsidRPr="00316538">
        <w:rPr>
          <w:b/>
          <w:szCs w:val="24"/>
          <w:lang w:val="es-MX"/>
        </w:rPr>
        <w:t>Visto</w:t>
      </w:r>
      <w:r w:rsidRPr="00316538">
        <w:rPr>
          <w:szCs w:val="24"/>
          <w:lang w:val="es-MX"/>
        </w:rPr>
        <w:t>:</w:t>
      </w:r>
    </w:p>
    <w:p w:rsidR="00636B2C" w:rsidRPr="00316538" w:rsidRDefault="00636B2C" w:rsidP="00316538">
      <w:pPr>
        <w:spacing w:before="120"/>
        <w:rPr>
          <w:szCs w:val="24"/>
          <w:lang w:val="es-MX"/>
        </w:rPr>
      </w:pPr>
      <w:r w:rsidRPr="00316538">
        <w:rPr>
          <w:szCs w:val="24"/>
          <w:lang w:val="es-MX"/>
        </w:rPr>
        <w:t xml:space="preserve">            El Expediente N° 222-D-2025 de autoría del Diputado Juan Manuel VALDES,  por el cual solicita modificación de la Ley 2.219; y</w:t>
      </w:r>
    </w:p>
    <w:p w:rsidR="00636B2C" w:rsidRPr="00316538" w:rsidRDefault="00636B2C" w:rsidP="00316538">
      <w:pPr>
        <w:spacing w:before="120"/>
        <w:outlineLvl w:val="0"/>
        <w:rPr>
          <w:b/>
          <w:bCs/>
          <w:szCs w:val="24"/>
          <w:lang w:val="es-ES"/>
        </w:rPr>
      </w:pPr>
      <w:r w:rsidRPr="00316538">
        <w:rPr>
          <w:b/>
          <w:bCs/>
          <w:szCs w:val="24"/>
          <w:lang w:val="es-ES"/>
        </w:rPr>
        <w:t>Considerando:</w:t>
      </w:r>
    </w:p>
    <w:p w:rsidR="00636B2C" w:rsidRPr="00316538" w:rsidRDefault="00636B2C" w:rsidP="00316538">
      <w:pPr>
        <w:spacing w:before="120"/>
        <w:ind w:firstLine="708"/>
        <w:outlineLvl w:val="0"/>
        <w:rPr>
          <w:szCs w:val="24"/>
        </w:rPr>
      </w:pPr>
      <w:r w:rsidRPr="00316538">
        <w:rPr>
          <w:szCs w:val="24"/>
        </w:rPr>
        <w:t xml:space="preserve">Que el presente proyecto de ley tiene como objetivo modificar la Ley 2219 a fin de ampliar el número y la diversidad de juegos accesibles en parques y plazas, al tiempo que procura mejorar las condiciones de accesibilidad a sus entornos. </w:t>
      </w:r>
    </w:p>
    <w:p w:rsidR="00636B2C" w:rsidRPr="00316538" w:rsidRDefault="00636B2C" w:rsidP="00316538">
      <w:pPr>
        <w:spacing w:before="120"/>
        <w:ind w:firstLine="708"/>
        <w:outlineLvl w:val="0"/>
        <w:rPr>
          <w:szCs w:val="24"/>
        </w:rPr>
      </w:pPr>
      <w:r w:rsidRPr="00316538">
        <w:rPr>
          <w:szCs w:val="24"/>
        </w:rPr>
        <w:t xml:space="preserve">Que el texto original solo habla de hamacas accesibles, juego que responde a una característica particular. En esta modificación se propone la variedad en la instalación de juegos inclusivos. En el mismo sentido, y en base al modelo social de la discapacidad, se reemplaza el concepto de “juegos adaptados” por el de “juegos inclusivos” ya la inclusión busca crear entornos que puedan ser utilizados por todas las personas, sin necesidad de adaptaciones especiales, reconoce y valora las diferencias individuales, entendiendo que la discapacidad es una más de las muchas características que definen a una persona y fomenta a autonomía y la independencia de las personas. </w:t>
      </w:r>
    </w:p>
    <w:p w:rsidR="00636B2C" w:rsidRPr="00316538" w:rsidRDefault="00636B2C" w:rsidP="00316538">
      <w:pPr>
        <w:spacing w:before="120"/>
        <w:ind w:firstLine="708"/>
        <w:outlineLvl w:val="0"/>
        <w:rPr>
          <w:szCs w:val="24"/>
        </w:rPr>
      </w:pPr>
      <w:r w:rsidRPr="00316538">
        <w:rPr>
          <w:szCs w:val="24"/>
        </w:rPr>
        <w:t xml:space="preserve">Que la inclusión es un derecho reconocido en instrumentos internacionales como la Convención sobre los Derechos de las Personas con Discapacidad (ONU, 2006), que Argentina ha ratificado mediante la Ley Nacional N° 26.378. Este tratado establece que las personas con discapacidad tienen derecho a participar en la vida comunitaria en igualdad de condiciones, y que los Estados deben adoptar medidas para garantizar su plena inclusión. </w:t>
      </w:r>
    </w:p>
    <w:p w:rsidR="00636B2C" w:rsidRPr="00316538" w:rsidRDefault="00636B2C" w:rsidP="00316538">
      <w:pPr>
        <w:spacing w:before="120"/>
        <w:ind w:firstLine="708"/>
        <w:outlineLvl w:val="0"/>
        <w:rPr>
          <w:szCs w:val="24"/>
        </w:rPr>
      </w:pPr>
      <w:r w:rsidRPr="00316538">
        <w:rPr>
          <w:szCs w:val="24"/>
        </w:rPr>
        <w:t xml:space="preserve">Que las plazas y los parques como espacios públicos constituyen uno de los principales articuladores de la vida social. Según datos obtenidos por el centro de estadísticas del Gobierno de la Ciudad, la Ciudad Autónoma de Buenos Aires tiene 1.169 espacios verdes que cubren una superficie de 1802 hectáreas. De la relación entre superficie y población resulta que corresponden 5,9 m2 de espacios verdes por habitante; compuesta por 45 parques, 249 plazas, 427 plazoletas entre otros. </w:t>
      </w:r>
    </w:p>
    <w:p w:rsidR="00636B2C" w:rsidRPr="00316538" w:rsidRDefault="00636B2C" w:rsidP="00316538">
      <w:pPr>
        <w:spacing w:before="120"/>
        <w:ind w:firstLine="708"/>
        <w:outlineLvl w:val="0"/>
        <w:rPr>
          <w:szCs w:val="24"/>
        </w:rPr>
      </w:pPr>
      <w:r w:rsidRPr="00316538">
        <w:rPr>
          <w:szCs w:val="24"/>
        </w:rPr>
        <w:t xml:space="preserve">Que si bien la ley 2219 constituyó un avance en el momento en que fue sancionada, hoy su modificación resulta indispensable tanto por cuestiones conceptuales como de orden práctico. Contar con juegos inclusivos supone garantizar el derecho a ingresar, permanecer y transitar en espacios públicos, ofreciendo así posibilidades de disfrute y participación individual y grupal. </w:t>
      </w:r>
    </w:p>
    <w:p w:rsidR="00636B2C" w:rsidRPr="00316538" w:rsidRDefault="00636B2C" w:rsidP="00316538">
      <w:pPr>
        <w:spacing w:before="120"/>
        <w:ind w:firstLine="708"/>
        <w:outlineLvl w:val="0"/>
        <w:rPr>
          <w:szCs w:val="24"/>
        </w:rPr>
      </w:pPr>
      <w:r w:rsidRPr="00316538">
        <w:rPr>
          <w:szCs w:val="24"/>
        </w:rPr>
        <w:t>Que la propuesta de modificación es acorde con la Convención sobre los Derechos de las Personas con Discapacidad que en su artículo 2, le otorga a la accesibilidad carácter de principio para el ejercicio de derechos. En su Art. 30, inciso. 5, plantea de forma clara y precisa que los Estados partes deben “Asegurar que los niños y las niñas con discapacidad tengan igual acceso con los demás niños y niñas a la participación en actividades lúdicas, recreativas, de esparcimiento y deportivas.”.</w:t>
      </w:r>
    </w:p>
    <w:p w:rsidR="00636B2C" w:rsidRPr="00316538" w:rsidRDefault="00636B2C" w:rsidP="00316538">
      <w:pPr>
        <w:spacing w:before="120"/>
        <w:ind w:firstLine="708"/>
        <w:outlineLvl w:val="0"/>
        <w:rPr>
          <w:szCs w:val="24"/>
        </w:rPr>
      </w:pPr>
      <w:r w:rsidRPr="00316538">
        <w:rPr>
          <w:szCs w:val="24"/>
        </w:rPr>
        <w:t>Que también es acorde con la Convención sobre los Derechos del Niño, con rango constitucional desde 1994, que en su Art. 31 establece: "</w:t>
      </w:r>
      <w:r w:rsidRPr="00316538">
        <w:rPr>
          <w:i/>
          <w:szCs w:val="24"/>
        </w:rPr>
        <w:t>Los Estados Parte respetarán y promoverán el derecho del niño a participar plenamente en la vida cultural y artística y propiciarán oportunidades apropiadas, en condiciones de igualdad, de participar en la vida cultural, artística, recreativa y de esparcimiento</w:t>
      </w:r>
      <w:r w:rsidRPr="00316538">
        <w:rPr>
          <w:szCs w:val="24"/>
        </w:rPr>
        <w:t>".</w:t>
      </w:r>
    </w:p>
    <w:p w:rsidR="00636B2C" w:rsidRPr="00316538" w:rsidRDefault="00636B2C" w:rsidP="00316538">
      <w:pPr>
        <w:spacing w:before="120"/>
        <w:ind w:firstLine="708"/>
        <w:outlineLvl w:val="0"/>
        <w:rPr>
          <w:bCs/>
          <w:szCs w:val="24"/>
          <w:lang w:val="es-ES"/>
        </w:rPr>
      </w:pPr>
      <w:r w:rsidRPr="00316538">
        <w:rPr>
          <w:szCs w:val="24"/>
        </w:rPr>
        <w:t>Que asimismo la Ley Nacional 26</w:t>
      </w:r>
      <w:r w:rsidR="00316538" w:rsidRPr="00316538">
        <w:rPr>
          <w:szCs w:val="24"/>
        </w:rPr>
        <w:t>.</w:t>
      </w:r>
      <w:r w:rsidRPr="00316538">
        <w:rPr>
          <w:szCs w:val="24"/>
        </w:rPr>
        <w:t>061, de protección integral de los Derechos de las Niñas, Niños y Adolescentes, pone de manifiesto en su artículo 20, sobre el derecho al deporte y juego recreativo, que los organismos del estado, con la activa participación de la sociedad, "deben establecer programas que garanticen el derecho de todas las niñas, niños y adolescentes a la recreación, esparcimiento, juegos recreativos y deportes (...)”.</w:t>
      </w:r>
    </w:p>
    <w:p w:rsidR="00636B2C" w:rsidRPr="00316538" w:rsidRDefault="00636B2C" w:rsidP="00316538">
      <w:pPr>
        <w:spacing w:before="120"/>
        <w:ind w:firstLine="708"/>
        <w:outlineLvl w:val="0"/>
        <w:rPr>
          <w:szCs w:val="24"/>
        </w:rPr>
      </w:pPr>
      <w:r w:rsidRPr="00316538">
        <w:rPr>
          <w:szCs w:val="24"/>
        </w:rPr>
        <w:lastRenderedPageBreak/>
        <w:t xml:space="preserve">Que </w:t>
      </w:r>
      <w:r w:rsidR="00316538" w:rsidRPr="00316538">
        <w:rPr>
          <w:szCs w:val="24"/>
        </w:rPr>
        <w:t>el</w:t>
      </w:r>
      <w:r w:rsidRPr="00316538">
        <w:rPr>
          <w:szCs w:val="24"/>
        </w:rPr>
        <w:t xml:space="preserve"> proyecto de Ley se funda en la convicción de que la remoción de barreras en las áreas de juego y sus entornos, así como la creación de espacios lúdicos de encuentro, permiten generar instancias basadas en la perspectiva social de la discapacidad y accesibilidad, en contraposición al actual estado de cosas, donde en la mayoría de los casos las superficies, diseños e instalaciones no son los adecuados.</w:t>
      </w:r>
    </w:p>
    <w:p w:rsidR="00636B2C" w:rsidRPr="00316538" w:rsidRDefault="00636B2C" w:rsidP="00316538">
      <w:pPr>
        <w:rPr>
          <w:lang w:val="es-MX"/>
        </w:rPr>
      </w:pPr>
    </w:p>
    <w:p w:rsidR="00636B2C" w:rsidRPr="00316538" w:rsidRDefault="00636B2C" w:rsidP="00316538">
      <w:pPr>
        <w:ind w:firstLine="708"/>
        <w:rPr>
          <w:szCs w:val="24"/>
        </w:rPr>
      </w:pPr>
      <w:r w:rsidRPr="00316538">
        <w:rPr>
          <w:szCs w:val="24"/>
        </w:rPr>
        <w:t>Por lo expuesto, esta Comisión de Presupuesto, Hacienda, Administración Financiera y Política Tributaria adhiere al dictamen de su similar de Protección y Uso del Espacio Público</w:t>
      </w:r>
    </w:p>
    <w:p w:rsidR="00636B2C" w:rsidRPr="00316538" w:rsidRDefault="00636B2C" w:rsidP="00316538">
      <w:pPr>
        <w:rPr>
          <w:lang w:val="es-MX"/>
        </w:rPr>
      </w:pPr>
    </w:p>
    <w:p w:rsidR="00636B2C" w:rsidRPr="00316538" w:rsidRDefault="00636B2C" w:rsidP="00316538">
      <w:pPr>
        <w:rPr>
          <w:lang w:val="es-MX"/>
        </w:rPr>
      </w:pPr>
    </w:p>
    <w:p w:rsidR="00AF6352" w:rsidRPr="00316538" w:rsidRDefault="00636B2C" w:rsidP="00316538">
      <w:pPr>
        <w:rPr>
          <w:lang w:val="es-MX"/>
        </w:rPr>
      </w:pPr>
      <w:r w:rsidRPr="00316538">
        <w:rPr>
          <w:lang w:val="es-MX"/>
        </w:rPr>
        <w:t xml:space="preserve">Sala de la Comisión </w:t>
      </w:r>
    </w:p>
    <w:p w:rsidR="00B177FE" w:rsidRPr="00316538" w:rsidRDefault="00B177FE" w:rsidP="00316538">
      <w:pPr>
        <w:rPr>
          <w:lang w:val="es-MX"/>
        </w:rPr>
      </w:pPr>
    </w:p>
    <w:p w:rsidR="00B177FE" w:rsidRPr="00316538" w:rsidRDefault="00B177FE" w:rsidP="00316538">
      <w:pPr>
        <w:rPr>
          <w:lang w:val="es-MX"/>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636B2C" w:rsidRPr="00316538" w:rsidTr="00812AB7">
        <w:trPr>
          <w:trHeight w:val="1602"/>
        </w:trPr>
        <w:tc>
          <w:tcPr>
            <w:tcW w:w="4348" w:type="dxa"/>
            <w:tcBorders>
              <w:bottom w:val="single" w:sz="4" w:space="0" w:color="FFFFFF" w:themeColor="background1"/>
            </w:tcBorders>
            <w:vAlign w:val="bottom"/>
          </w:tcPr>
          <w:p w:rsidR="00636B2C" w:rsidRPr="00316538" w:rsidRDefault="00636B2C" w:rsidP="00316538">
            <w:pPr>
              <w:ind w:left="3686"/>
              <w:jc w:val="center"/>
              <w:rPr>
                <w:lang w:val="es-MX"/>
              </w:rPr>
            </w:pPr>
          </w:p>
        </w:tc>
        <w:tc>
          <w:tcPr>
            <w:tcW w:w="4348" w:type="dxa"/>
            <w:tcBorders>
              <w:bottom w:val="single" w:sz="4" w:space="0" w:color="FFFFFF" w:themeColor="background1"/>
            </w:tcBorders>
            <w:vAlign w:val="bottom"/>
          </w:tcPr>
          <w:p w:rsidR="00636B2C" w:rsidRPr="00316538" w:rsidRDefault="00636B2C" w:rsidP="00316538">
            <w:pPr>
              <w:ind w:left="-145" w:firstLine="88"/>
              <w:jc w:val="center"/>
            </w:pPr>
            <w:r w:rsidRPr="00316538">
              <w:t>PAOLA MICHIELOTTO</w:t>
            </w:r>
          </w:p>
          <w:p w:rsidR="00636B2C" w:rsidRPr="00316538" w:rsidRDefault="00636B2C" w:rsidP="00316538">
            <w:pPr>
              <w:ind w:left="-145" w:firstLine="88"/>
              <w:jc w:val="center"/>
              <w:rPr>
                <w:lang w:val="es-MX"/>
              </w:rPr>
            </w:pPr>
            <w:r w:rsidRPr="00316538">
              <w:t>PRESIDENTA</w:t>
            </w:r>
          </w:p>
        </w:tc>
      </w:tr>
      <w:tr w:rsidR="00636B2C" w:rsidRPr="00316538" w:rsidTr="00812AB7">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rPr>
                <w:szCs w:val="24"/>
              </w:rPr>
            </w:pPr>
            <w:r w:rsidRPr="00316538">
              <w:rPr>
                <w:szCs w:val="24"/>
              </w:rPr>
              <w:t>CLAUDIA  NEIRA</w:t>
            </w:r>
          </w:p>
          <w:p w:rsidR="00636B2C" w:rsidRPr="00316538" w:rsidRDefault="00636B2C" w:rsidP="00316538">
            <w:pPr>
              <w:rPr>
                <w:lang w:val="es-MX"/>
              </w:rPr>
            </w:pPr>
            <w:r w:rsidRPr="00316538">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pPr>
            <w:r w:rsidRPr="00316538">
              <w:t>LUCIO LAPEÑA</w:t>
            </w:r>
          </w:p>
          <w:p w:rsidR="00636B2C" w:rsidRPr="00316538" w:rsidRDefault="00636B2C" w:rsidP="00316538">
            <w:pPr>
              <w:jc w:val="center"/>
              <w:rPr>
                <w:lang w:val="es-MX"/>
              </w:rPr>
            </w:pPr>
            <w:r w:rsidRPr="00316538">
              <w:t>Vicepresidente 2º</w:t>
            </w:r>
          </w:p>
        </w:tc>
      </w:tr>
      <w:tr w:rsidR="00636B2C" w:rsidRPr="00316538" w:rsidTr="00812AB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rPr>
                <w:lang w:val="es-MX"/>
              </w:rPr>
            </w:pPr>
            <w:r w:rsidRPr="00316538">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rPr>
                <w:lang w:val="es-MX"/>
              </w:rPr>
            </w:pPr>
            <w:r w:rsidRPr="00316538">
              <w:t>MATÍAS BARROETAVEÑA</w:t>
            </w:r>
          </w:p>
        </w:tc>
      </w:tr>
      <w:tr w:rsidR="00636B2C" w:rsidRPr="00316538" w:rsidTr="00812AB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rPr>
                <w:szCs w:val="24"/>
                <w:lang w:val="es-MX"/>
              </w:rPr>
            </w:pPr>
            <w:r w:rsidRPr="00316538">
              <w:rPr>
                <w:szCs w:val="24"/>
                <w:lang w:val="es-MX"/>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rPr>
                <w:szCs w:val="24"/>
                <w:lang w:val="es-MX"/>
              </w:rPr>
            </w:pPr>
            <w:r w:rsidRPr="00316538">
              <w:rPr>
                <w:szCs w:val="24"/>
                <w:lang w:val="es-MX"/>
              </w:rPr>
              <w:t>FACUNDO DEL GAISO</w:t>
            </w:r>
          </w:p>
        </w:tc>
      </w:tr>
      <w:tr w:rsidR="00636B2C" w:rsidRPr="00316538" w:rsidTr="00812AB7">
        <w:trPr>
          <w:trHeight w:val="1686"/>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rPr>
                <w:lang w:val="es-MX"/>
              </w:rPr>
            </w:pPr>
            <w:r w:rsidRPr="00316538">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pPr>
          </w:p>
          <w:p w:rsidR="00636B2C" w:rsidRPr="00316538" w:rsidRDefault="00636B2C" w:rsidP="00316538">
            <w:pPr>
              <w:jc w:val="center"/>
            </w:pPr>
          </w:p>
          <w:p w:rsidR="00636B2C" w:rsidRPr="00316538" w:rsidRDefault="00636B2C" w:rsidP="00316538">
            <w:pPr>
              <w:jc w:val="center"/>
            </w:pPr>
          </w:p>
          <w:p w:rsidR="00636B2C" w:rsidRPr="00316538" w:rsidRDefault="00636B2C" w:rsidP="00316538">
            <w:pPr>
              <w:jc w:val="center"/>
            </w:pPr>
          </w:p>
          <w:p w:rsidR="00636B2C" w:rsidRPr="00316538" w:rsidRDefault="00636B2C" w:rsidP="00316538">
            <w:pPr>
              <w:jc w:val="center"/>
            </w:pPr>
          </w:p>
          <w:p w:rsidR="00636B2C" w:rsidRPr="00316538" w:rsidRDefault="00636B2C" w:rsidP="00316538">
            <w:pPr>
              <w:jc w:val="center"/>
              <w:rPr>
                <w:lang w:val="es-MX"/>
              </w:rPr>
            </w:pPr>
            <w:r w:rsidRPr="00316538">
              <w:t>MARÍA LUISA GONZÁLEZ ESTEVARENA</w:t>
            </w:r>
          </w:p>
        </w:tc>
      </w:tr>
      <w:tr w:rsidR="00636B2C" w:rsidRPr="00316538" w:rsidTr="00812AB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rPr>
                <w:lang w:val="es-MX"/>
              </w:rPr>
            </w:pPr>
            <w:r w:rsidRPr="00316538">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rPr>
                <w:lang w:val="es-MX"/>
              </w:rPr>
            </w:pPr>
            <w:r w:rsidRPr="00316538">
              <w:t>MATÍAS LOPEZ</w:t>
            </w:r>
          </w:p>
        </w:tc>
      </w:tr>
      <w:tr w:rsidR="00636B2C" w:rsidRPr="00316538" w:rsidTr="00812AB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pPr>
            <w:r w:rsidRPr="00316538">
              <w:lastRenderedPageBreak/>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pPr>
            <w:r w:rsidRPr="00316538">
              <w:t>JUAN PABLO MODARELLI</w:t>
            </w:r>
          </w:p>
        </w:tc>
      </w:tr>
      <w:tr w:rsidR="00636B2C" w:rsidRPr="00316538" w:rsidTr="00812AB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rPr>
                <w:lang w:val="es-MX"/>
              </w:rPr>
            </w:pPr>
            <w:r w:rsidRPr="00316538">
              <w:t>MARÍA FERNANDA MOLLARD</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rPr>
                <w:lang w:val="es-MX"/>
              </w:rPr>
            </w:pPr>
            <w:r w:rsidRPr="00316538">
              <w:t>SEBASTIÁN NAGATA</w:t>
            </w:r>
          </w:p>
        </w:tc>
      </w:tr>
      <w:tr w:rsidR="00636B2C" w:rsidRPr="00316538" w:rsidTr="00812AB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rPr>
                <w:lang w:val="es-MX"/>
              </w:rPr>
            </w:pPr>
            <w:r w:rsidRPr="00316538">
              <w:t>DARÍO NIETO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rPr>
                <w:lang w:val="es-MX"/>
              </w:rPr>
            </w:pPr>
            <w:r w:rsidRPr="00316538">
              <w:t>MARÍA INÉS PARRY</w:t>
            </w:r>
          </w:p>
        </w:tc>
      </w:tr>
      <w:tr w:rsidR="00636B2C" w:rsidRPr="00316538" w:rsidTr="00812AB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rPr>
                <w:szCs w:val="24"/>
                <w:lang w:val="es-MX"/>
              </w:rPr>
            </w:pPr>
            <w:r w:rsidRPr="00316538">
              <w:rPr>
                <w:szCs w:val="24"/>
                <w:lang w:val="es-MX"/>
              </w:rPr>
              <w:t>MARÍA DEL PILAR RAMÍREZ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rPr>
                <w:lang w:val="es-MX"/>
              </w:rPr>
            </w:pPr>
            <w:r w:rsidRPr="00316538">
              <w:rPr>
                <w:szCs w:val="24"/>
              </w:rPr>
              <w:t>SERGIO SICILIANO</w:t>
            </w:r>
          </w:p>
        </w:tc>
      </w:tr>
      <w:tr w:rsidR="00636B2C" w:rsidRPr="00316538" w:rsidTr="00812AB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rPr>
                <w:lang w:val="es-MX"/>
              </w:rPr>
            </w:pPr>
            <w:r w:rsidRPr="00316538">
              <w:rPr>
                <w:szCs w:val="24"/>
                <w:lang w:val="es-MX"/>
              </w:rPr>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rPr>
                <w:szCs w:val="24"/>
              </w:rPr>
            </w:pPr>
            <w:r w:rsidRPr="00316538">
              <w:rPr>
                <w:szCs w:val="24"/>
              </w:rPr>
              <w:t>JUAN MANUEL VALDÉS</w:t>
            </w:r>
          </w:p>
        </w:tc>
      </w:tr>
      <w:tr w:rsidR="00636B2C" w:rsidRPr="00316538" w:rsidTr="00812AB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36B2C" w:rsidRPr="00316538" w:rsidRDefault="00636B2C" w:rsidP="00316538">
            <w:pPr>
              <w:jc w:val="center"/>
              <w:rPr>
                <w:szCs w:val="24"/>
              </w:rPr>
            </w:pPr>
            <w:r w:rsidRPr="00316538">
              <w:rPr>
                <w:szCs w:val="24"/>
              </w:rPr>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36B2C" w:rsidRPr="00316538" w:rsidRDefault="00636B2C" w:rsidP="00316538">
            <w:pPr>
              <w:jc w:val="center"/>
              <w:rPr>
                <w:szCs w:val="24"/>
              </w:rPr>
            </w:pPr>
            <w:r w:rsidRPr="00316538">
              <w:rPr>
                <w:szCs w:val="24"/>
              </w:rPr>
              <w:t>FRANCO VITALI</w:t>
            </w:r>
          </w:p>
        </w:tc>
      </w:tr>
    </w:tbl>
    <w:p w:rsidR="00AF6352" w:rsidRPr="00316538" w:rsidRDefault="00AF6352" w:rsidP="00316538">
      <w:pPr>
        <w:rPr>
          <w:lang w:val="es-MX"/>
        </w:rPr>
      </w:pPr>
    </w:p>
    <w:sectPr w:rsidR="00AF6352" w:rsidRPr="00316538" w:rsidSect="00047C8B">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B2C" w:rsidRDefault="00636B2C">
      <w:r>
        <w:separator/>
      </w:r>
    </w:p>
  </w:endnote>
  <w:endnote w:type="continuationSeparator" w:id="0">
    <w:p w:rsidR="00636B2C" w:rsidRDefault="00636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FA27AD" w:rsidRDefault="00601A75">
    <w:pPr>
      <w:pStyle w:val="Piedepgina"/>
      <w:rPr>
        <w:color w:val="333333"/>
        <w:sz w:val="20"/>
      </w:rPr>
    </w:pPr>
    <w:bookmarkStart w:id="0" w:name="Despacho"/>
    <w:bookmarkEnd w:id="0"/>
  </w:p>
  <w:p w:rsidR="00601A75" w:rsidRPr="00FA27AD" w:rsidRDefault="00601A75">
    <w:pPr>
      <w:pStyle w:val="Piedepgina"/>
      <w:rPr>
        <w:color w:val="333333"/>
        <w:sz w:val="20"/>
      </w:rPr>
    </w:pPr>
    <w:r w:rsidRPr="00FA27AD">
      <w:rPr>
        <w:color w:val="333333"/>
        <w:sz w:val="20"/>
      </w:rPr>
      <w:t xml:space="preserve">Último cambio: </w:t>
    </w:r>
    <w:fldSimple w:instr=" SAVEDATE  \* MERGEFORMAT ">
      <w:r w:rsidR="00FC117B">
        <w:rPr>
          <w:noProof/>
          <w:color w:val="333333"/>
          <w:sz w:val="20"/>
        </w:rPr>
        <w:t>12/11/2025 11:27:00</w:t>
      </w:r>
    </w:fldSimple>
    <w:r w:rsidRPr="00FA27AD">
      <w:rPr>
        <w:color w:val="333333"/>
        <w:sz w:val="20"/>
      </w:rPr>
      <w:t xml:space="preserve">  -  Cantidad de caracteres: </w:t>
    </w:r>
    <w:fldSimple w:instr=" NUMCHARS  \* MERGEFORMAT ">
      <w:r w:rsidR="00FC117B">
        <w:rPr>
          <w:noProof/>
          <w:color w:val="333333"/>
          <w:sz w:val="20"/>
        </w:rPr>
        <w:t>4049</w:t>
      </w:r>
    </w:fldSimple>
    <w:r w:rsidRPr="00FA27AD">
      <w:rPr>
        <w:color w:val="333333"/>
        <w:sz w:val="20"/>
      </w:rPr>
      <w:t xml:space="preserve"> - Cantidad de palabras: </w:t>
    </w:r>
    <w:fldSimple w:instr=" NUMWORDS  \* MERGEFORMAT ">
      <w:r w:rsidR="00FC117B">
        <w:rPr>
          <w:noProof/>
          <w:color w:val="333333"/>
          <w:sz w:val="20"/>
        </w:rPr>
        <w:t>744</w:t>
      </w:r>
    </w:fldSimple>
  </w:p>
  <w:p w:rsidR="00601A75" w:rsidRPr="00FA27AD" w:rsidRDefault="00601A75" w:rsidP="00B05649">
    <w:pPr>
      <w:pStyle w:val="Piedepgina"/>
      <w:tabs>
        <w:tab w:val="left" w:pos="3565"/>
      </w:tabs>
      <w:rPr>
        <w:rStyle w:val="Nmerodepgina"/>
        <w:color w:val="333333"/>
      </w:rPr>
    </w:pPr>
    <w:r w:rsidRPr="00FA27AD">
      <w:rPr>
        <w:color w:val="333333"/>
        <w:sz w:val="20"/>
      </w:rPr>
      <w:tab/>
      <w:t>Pág.</w:t>
    </w:r>
    <w:r w:rsidRPr="00FA27AD">
      <w:rPr>
        <w:color w:val="333333"/>
      </w:rPr>
      <w:t xml:space="preserve"> </w:t>
    </w:r>
    <w:r w:rsidRPr="00FA27AD">
      <w:rPr>
        <w:rStyle w:val="Nmerodepgina"/>
        <w:color w:val="333333"/>
      </w:rPr>
      <w:fldChar w:fldCharType="begin"/>
    </w:r>
    <w:r w:rsidRPr="00FA27AD">
      <w:rPr>
        <w:rStyle w:val="Nmerodepgina"/>
        <w:color w:val="333333"/>
      </w:rPr>
      <w:instrText xml:space="preserve"> PAGE </w:instrText>
    </w:r>
    <w:r w:rsidRPr="00FA27AD">
      <w:rPr>
        <w:rStyle w:val="Nmerodepgina"/>
        <w:color w:val="333333"/>
      </w:rPr>
      <w:fldChar w:fldCharType="separate"/>
    </w:r>
    <w:r w:rsidR="00FC117B">
      <w:rPr>
        <w:rStyle w:val="Nmerodepgina"/>
        <w:noProof/>
        <w:color w:val="333333"/>
      </w:rPr>
      <w:t>2</w:t>
    </w:r>
    <w:r w:rsidRPr="00FA27AD">
      <w:rPr>
        <w:rStyle w:val="Nmerodepgina"/>
        <w:color w:val="333333"/>
      </w:rPr>
      <w:fldChar w:fldCharType="end"/>
    </w:r>
    <w:r w:rsidRPr="00FA27AD">
      <w:rPr>
        <w:rStyle w:val="Nmerodepgina"/>
        <w:color w:val="333333"/>
      </w:rPr>
      <w:t>/</w:t>
    </w:r>
    <w:fldSimple w:instr=" NUMPAGES  \* MERGEFORMAT ">
      <w:r w:rsidR="00FC117B">
        <w:rPr>
          <w:rStyle w:val="Nmerodepgina"/>
          <w:noProof/>
          <w:color w:val="333333"/>
        </w:rPr>
        <w:t>3</w:t>
      </w:r>
    </w:fldSimple>
    <w:r w:rsidRPr="00FA27AD">
      <w:rPr>
        <w:rStyle w:val="Nmerodepgina"/>
        <w:color w:val="333333"/>
      </w:rPr>
      <w:t xml:space="preserve"> </w:t>
    </w:r>
  </w:p>
  <w:p w:rsidR="00601A75" w:rsidRPr="00FA27AD"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B2C" w:rsidRDefault="00636B2C">
      <w:r>
        <w:separator/>
      </w:r>
    </w:p>
  </w:footnote>
  <w:footnote w:type="continuationSeparator" w:id="0">
    <w:p w:rsidR="00636B2C" w:rsidRDefault="00636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636B2C"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Pr="00636B2C" w:rsidRDefault="00636B2C" w:rsidP="00636B2C">
    <w:pPr>
      <w:pStyle w:val="Encabezado"/>
      <w:jc w:val="right"/>
      <w:rPr>
        <w:b/>
        <w:i/>
        <w:color w:val="000000"/>
        <w:shd w:val="clear" w:color="auto" w:fill="FFFFFF"/>
      </w:rPr>
    </w:pPr>
    <w:r>
      <w:rPr>
        <w:b/>
        <w:szCs w:val="24"/>
        <w:lang w:val="es-MX"/>
      </w:rPr>
      <w:t>E</w:t>
    </w:r>
    <w:r w:rsidRPr="00636B2C">
      <w:rPr>
        <w:b/>
        <w:szCs w:val="24"/>
        <w:lang w:val="es-MX"/>
      </w:rPr>
      <w:t>xpediente N° 222-D-2025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E263D6"/>
    <w:rsid w:val="00001988"/>
    <w:rsid w:val="000031F8"/>
    <w:rsid w:val="00026430"/>
    <w:rsid w:val="00030DF5"/>
    <w:rsid w:val="0003615C"/>
    <w:rsid w:val="000376AB"/>
    <w:rsid w:val="00043882"/>
    <w:rsid w:val="00047C8B"/>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16538"/>
    <w:rsid w:val="0033168A"/>
    <w:rsid w:val="00335CD9"/>
    <w:rsid w:val="00340F54"/>
    <w:rsid w:val="0035681D"/>
    <w:rsid w:val="003A7311"/>
    <w:rsid w:val="003B471C"/>
    <w:rsid w:val="003D10AB"/>
    <w:rsid w:val="003D4000"/>
    <w:rsid w:val="003F1EFD"/>
    <w:rsid w:val="003F4249"/>
    <w:rsid w:val="00401C75"/>
    <w:rsid w:val="0040345C"/>
    <w:rsid w:val="0040761B"/>
    <w:rsid w:val="00422C3F"/>
    <w:rsid w:val="004354AC"/>
    <w:rsid w:val="00446E1A"/>
    <w:rsid w:val="004847CA"/>
    <w:rsid w:val="004B7714"/>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2C"/>
    <w:rsid w:val="00636BE0"/>
    <w:rsid w:val="0064363E"/>
    <w:rsid w:val="0065711B"/>
    <w:rsid w:val="006811D6"/>
    <w:rsid w:val="00690392"/>
    <w:rsid w:val="00697F98"/>
    <w:rsid w:val="006A6925"/>
    <w:rsid w:val="006C326A"/>
    <w:rsid w:val="006C40E9"/>
    <w:rsid w:val="006D3303"/>
    <w:rsid w:val="006D5CB7"/>
    <w:rsid w:val="006E3675"/>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319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263D6"/>
    <w:rsid w:val="00E30CFF"/>
    <w:rsid w:val="00E55186"/>
    <w:rsid w:val="00E615F1"/>
    <w:rsid w:val="00E63146"/>
    <w:rsid w:val="00E64A1D"/>
    <w:rsid w:val="00E74920"/>
    <w:rsid w:val="00E81EE5"/>
    <w:rsid w:val="00E91F21"/>
    <w:rsid w:val="00EB6956"/>
    <w:rsid w:val="00EF0D22"/>
    <w:rsid w:val="00F13C69"/>
    <w:rsid w:val="00F41DF6"/>
    <w:rsid w:val="00F52245"/>
    <w:rsid w:val="00F5569F"/>
    <w:rsid w:val="00F60308"/>
    <w:rsid w:val="00F640D0"/>
    <w:rsid w:val="00F75389"/>
    <w:rsid w:val="00F903E8"/>
    <w:rsid w:val="00FA0C8C"/>
    <w:rsid w:val="00FA27AD"/>
    <w:rsid w:val="00FC117B"/>
    <w:rsid w:val="00FD07F5"/>
    <w:rsid w:val="00FD2E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redaccin">
    <w:name w:val="redacción"/>
    <w:basedOn w:val="Normal"/>
    <w:next w:val="Normal"/>
    <w:pPr>
      <w:ind w:left="3686"/>
    </w:p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E263D6"/>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3D6"/>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18652-7826-4E23-83C4-203571E5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11</TotalTime>
  <Pages>3</Pages>
  <Words>744</Words>
  <Characters>4049</Characters>
  <Application>Microsoft Office Word</Application>
  <DocSecurity>0</DocSecurity>
  <Lines>100</Lines>
  <Paragraphs>41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sorolnik</cp:lastModifiedBy>
  <cp:revision>9</cp:revision>
  <cp:lastPrinted>2025-11-12T14:27:00Z</cp:lastPrinted>
  <dcterms:created xsi:type="dcterms:W3CDTF">2025-11-12T14:17:00Z</dcterms:created>
  <dcterms:modified xsi:type="dcterms:W3CDTF">2025-11-12T14:29:00Z</dcterms:modified>
</cp:coreProperties>
</file>