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DE2" w:rsidRPr="00F31DE2" w:rsidRDefault="00F31DE2" w:rsidP="00F31DE2">
      <w:pPr>
        <w:spacing w:before="240" w:after="0" w:line="240" w:lineRule="auto"/>
        <w:jc w:val="center"/>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b/>
          <w:bCs/>
          <w:color w:val="000000"/>
          <w:kern w:val="0"/>
          <w:sz w:val="24"/>
          <w:szCs w:val="24"/>
          <w:u w:val="single"/>
          <w:lang w:val="es-ES" w:eastAsia="es-ES"/>
        </w:rPr>
        <w:t>OBSERVACIONES AL DESPACHO N° 740-25:</w:t>
      </w:r>
    </w:p>
    <w:p w:rsidR="00F31DE2" w:rsidRPr="00F31DE2" w:rsidRDefault="00F31DE2" w:rsidP="00F31DE2">
      <w:pPr>
        <w:spacing w:before="240" w:after="0" w:line="240" w:lineRule="auto"/>
        <w:jc w:val="center"/>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b/>
          <w:bCs/>
          <w:color w:val="000000"/>
          <w:kern w:val="0"/>
          <w:sz w:val="24"/>
          <w:szCs w:val="24"/>
          <w:lang w:val="es-ES" w:eastAsia="es-ES"/>
        </w:rPr>
        <w:t>“CÓDIGO FISCAL 2026”</w:t>
      </w:r>
    </w:p>
    <w:p w:rsidR="00F31DE2" w:rsidRPr="00F31DE2" w:rsidRDefault="00F31DE2" w:rsidP="00F31DE2">
      <w:pPr>
        <w:spacing w:after="0" w:line="240" w:lineRule="auto"/>
        <w:rPr>
          <w:rFonts w:ascii="Times New Roman" w:eastAsia="Times New Roman" w:hAnsi="Times New Roman" w:cs="Times New Roman"/>
          <w:kern w:val="0"/>
          <w:sz w:val="24"/>
          <w:szCs w:val="24"/>
          <w:lang w:val="es-ES" w:eastAsia="es-ES"/>
        </w:rPr>
      </w:pPr>
    </w:p>
    <w:p w:rsidR="00F31DE2" w:rsidRPr="00F31DE2" w:rsidRDefault="00F31DE2" w:rsidP="00F31DE2">
      <w:pPr>
        <w:spacing w:line="240" w:lineRule="auto"/>
        <w:ind w:firstLine="720"/>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 xml:space="preserve">Que conforme a lo previsto en el artículo 169 del Reglamento de la Legislatura de la Ciudad de Buenos Aires, venimos a plantear observaciones al </w:t>
      </w:r>
      <w:r w:rsidRPr="00F31DE2">
        <w:rPr>
          <w:rFonts w:ascii="Times New Roman" w:eastAsia="Times New Roman" w:hAnsi="Times New Roman" w:cs="Times New Roman"/>
          <w:b/>
          <w:bCs/>
          <w:color w:val="000000"/>
          <w:kern w:val="0"/>
          <w:sz w:val="24"/>
          <w:szCs w:val="24"/>
          <w:lang w:val="es-ES" w:eastAsia="es-ES"/>
        </w:rPr>
        <w:t xml:space="preserve">Despacho N° </w:t>
      </w:r>
      <w:r w:rsidRPr="00F31DE2">
        <w:rPr>
          <w:rFonts w:ascii="Times New Roman" w:eastAsia="Times New Roman" w:hAnsi="Times New Roman" w:cs="Times New Roman"/>
          <w:b/>
          <w:bCs/>
          <w:color w:val="000000"/>
          <w:kern w:val="0"/>
          <w:sz w:val="26"/>
          <w:szCs w:val="26"/>
          <w:lang w:val="es-ES" w:eastAsia="es-ES"/>
        </w:rPr>
        <w:t>0740-25</w:t>
      </w:r>
      <w:r w:rsidRPr="00F31DE2">
        <w:rPr>
          <w:rFonts w:ascii="Times New Roman" w:eastAsia="Times New Roman" w:hAnsi="Times New Roman" w:cs="Times New Roman"/>
          <w:color w:val="000000"/>
          <w:kern w:val="0"/>
          <w:sz w:val="24"/>
          <w:szCs w:val="24"/>
          <w:lang w:val="es-ES" w:eastAsia="es-ES"/>
        </w:rPr>
        <w:t>, conforme a las consideraciones que seguidamente pasan a efectuarse:</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ab/>
        <w:t>Que con el objeto de establecer beneficios fiscales</w:t>
      </w:r>
      <w:r w:rsidRPr="00F31DE2">
        <w:rPr>
          <w:rFonts w:ascii="Times New Roman" w:eastAsia="Times New Roman" w:hAnsi="Times New Roman" w:cs="Times New Roman"/>
          <w:b/>
          <w:bCs/>
          <w:color w:val="FF0000"/>
          <w:kern w:val="0"/>
          <w:sz w:val="24"/>
          <w:szCs w:val="24"/>
          <w:lang w:val="es-ES" w:eastAsia="es-ES"/>
        </w:rPr>
        <w:t xml:space="preserve"> </w:t>
      </w:r>
      <w:r w:rsidRPr="00F31DE2">
        <w:rPr>
          <w:rFonts w:ascii="Times New Roman" w:eastAsia="Times New Roman" w:hAnsi="Times New Roman" w:cs="Times New Roman"/>
          <w:color w:val="000000"/>
          <w:kern w:val="0"/>
          <w:sz w:val="24"/>
          <w:szCs w:val="24"/>
          <w:lang w:val="es-ES" w:eastAsia="es-ES"/>
        </w:rPr>
        <w:t>para los pequeños contribuyentes alcanzados por la presente norma, se plantea una modificación al artículo 5 inciso 13 del despacho, a los efectos de extender el alcance de la medida a un porcentaje mayor de ciudadanos. En este sentido, se procede a detallar la redacción propuesta: </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w:t>
      </w:r>
      <w:r w:rsidRPr="00F31DE2">
        <w:rPr>
          <w:rFonts w:ascii="Times New Roman" w:eastAsia="Times New Roman" w:hAnsi="Times New Roman" w:cs="Times New Roman"/>
          <w:b/>
          <w:bCs/>
          <w:color w:val="000000"/>
          <w:kern w:val="0"/>
          <w:sz w:val="24"/>
          <w:szCs w:val="24"/>
          <w:lang w:val="es-ES" w:eastAsia="es-ES"/>
        </w:rPr>
        <w:t>Bonificación a pequeños contribuyentes del Régimen Simplificado:</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 xml:space="preserve">Artículo 180 bis.- El Ministerio de Hacienda y Finanzas aplicará una bonificación del cien por ciento (100%) del Impuesto sobre los Ingresos Brutos para los contribuyentes del Régimen Simplificado del Impuesto sobre los Ingresos Brutos, inscriptos en las categorías correspondientes a la menor base imponible gravada y las dos siguientes inmediatas, siempre que revistan el carácter de personas humanas </w:t>
      </w:r>
      <w:r w:rsidRPr="00F31DE2">
        <w:rPr>
          <w:rFonts w:ascii="Times New Roman" w:eastAsia="Times New Roman" w:hAnsi="Times New Roman" w:cs="Times New Roman"/>
          <w:b/>
          <w:bCs/>
          <w:color w:val="000000"/>
          <w:kern w:val="0"/>
          <w:sz w:val="24"/>
          <w:szCs w:val="24"/>
          <w:lang w:val="es-ES" w:eastAsia="es-ES"/>
        </w:rPr>
        <w:t>y/o sean sociedades de hecho y comerciales irregulares, en la medida que tengan un máximo de tres (3) socios</w:t>
      </w:r>
      <w:r w:rsidRPr="00F31DE2">
        <w:rPr>
          <w:rFonts w:ascii="Times New Roman" w:eastAsia="Times New Roman" w:hAnsi="Times New Roman" w:cs="Times New Roman"/>
          <w:color w:val="000000"/>
          <w:kern w:val="0"/>
          <w:sz w:val="24"/>
          <w:szCs w:val="24"/>
          <w:lang w:val="es-ES" w:eastAsia="es-ES"/>
        </w:rPr>
        <w:t>, conforme las condiciones y requisitos que fije la reglamentación.</w:t>
      </w:r>
    </w:p>
    <w:p w:rsidR="00F31DE2" w:rsidRPr="00F31DE2" w:rsidRDefault="00F31DE2" w:rsidP="00F31DE2">
      <w:pPr>
        <w:spacing w:before="240" w:after="0"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Cuando se trate de personas humanas</w:t>
      </w:r>
      <w:r w:rsidRPr="00F31DE2">
        <w:rPr>
          <w:rFonts w:ascii="Times New Roman" w:eastAsia="Times New Roman" w:hAnsi="Times New Roman" w:cs="Times New Roman"/>
          <w:b/>
          <w:bCs/>
          <w:i/>
          <w:iCs/>
          <w:color w:val="000000"/>
          <w:kern w:val="0"/>
          <w:sz w:val="24"/>
          <w:szCs w:val="24"/>
          <w:lang w:val="es-ES" w:eastAsia="es-ES"/>
        </w:rPr>
        <w:t xml:space="preserve"> </w:t>
      </w:r>
      <w:r w:rsidRPr="00F31DE2">
        <w:rPr>
          <w:rFonts w:ascii="Times New Roman" w:eastAsia="Times New Roman" w:hAnsi="Times New Roman" w:cs="Times New Roman"/>
          <w:b/>
          <w:bCs/>
          <w:color w:val="000000"/>
          <w:kern w:val="0"/>
          <w:sz w:val="24"/>
          <w:szCs w:val="24"/>
          <w:lang w:val="es-ES" w:eastAsia="es-ES"/>
        </w:rPr>
        <w:t>y/o sociedades de hecho y comerciales irregulares, en la medida que tengan un máximo de tres (3) socios</w:t>
      </w:r>
      <w:r w:rsidRPr="00F31DE2">
        <w:rPr>
          <w:rFonts w:ascii="Times New Roman" w:eastAsia="Times New Roman" w:hAnsi="Times New Roman" w:cs="Times New Roman"/>
          <w:b/>
          <w:bCs/>
          <w:i/>
          <w:iCs/>
          <w:color w:val="000000"/>
          <w:kern w:val="0"/>
          <w:sz w:val="24"/>
          <w:szCs w:val="24"/>
          <w:lang w:val="es-ES" w:eastAsia="es-ES"/>
        </w:rPr>
        <w:t>,</w:t>
      </w:r>
      <w:r w:rsidRPr="00F31DE2">
        <w:rPr>
          <w:rFonts w:ascii="Times New Roman" w:eastAsia="Times New Roman" w:hAnsi="Times New Roman" w:cs="Times New Roman"/>
          <w:color w:val="000000"/>
          <w:kern w:val="0"/>
          <w:sz w:val="24"/>
          <w:szCs w:val="24"/>
          <w:lang w:val="es-ES" w:eastAsia="es-ES"/>
        </w:rPr>
        <w:t xml:space="preserve"> que se hallen inscriptas en las siguientes</w:t>
      </w:r>
      <w:r w:rsidRPr="00F31DE2">
        <w:rPr>
          <w:rFonts w:ascii="Times New Roman" w:eastAsia="Times New Roman" w:hAnsi="Times New Roman" w:cs="Times New Roman"/>
          <w:b/>
          <w:bCs/>
          <w:color w:val="000000"/>
          <w:kern w:val="0"/>
          <w:sz w:val="24"/>
          <w:szCs w:val="24"/>
          <w:lang w:val="es-ES" w:eastAsia="es-ES"/>
        </w:rPr>
        <w:t xml:space="preserve"> cinco (5)</w:t>
      </w:r>
      <w:r w:rsidRPr="00F31DE2">
        <w:rPr>
          <w:rFonts w:ascii="Times New Roman" w:eastAsia="Times New Roman" w:hAnsi="Times New Roman" w:cs="Times New Roman"/>
          <w:color w:val="000000"/>
          <w:kern w:val="0"/>
          <w:sz w:val="24"/>
          <w:szCs w:val="24"/>
          <w:lang w:val="es-ES" w:eastAsia="es-ES"/>
        </w:rPr>
        <w:t xml:space="preserve"> categorías del Régimen Simplificado del Impuesto sobre los ingresos Brutos con menores bases imponibles gravadas, el Ministerio de Hacienda y Finanzas aplicará una bonificación</w:t>
      </w:r>
      <w:r w:rsidRPr="00F31DE2">
        <w:rPr>
          <w:rFonts w:ascii="Times New Roman" w:eastAsia="Times New Roman" w:hAnsi="Times New Roman" w:cs="Times New Roman"/>
          <w:b/>
          <w:bCs/>
          <w:i/>
          <w:iCs/>
          <w:color w:val="000000"/>
          <w:kern w:val="0"/>
          <w:sz w:val="24"/>
          <w:szCs w:val="24"/>
          <w:lang w:val="es-ES" w:eastAsia="es-ES"/>
        </w:rPr>
        <w:t xml:space="preserve"> </w:t>
      </w:r>
      <w:r w:rsidRPr="00F31DE2">
        <w:rPr>
          <w:rFonts w:ascii="Times New Roman" w:eastAsia="Times New Roman" w:hAnsi="Times New Roman" w:cs="Times New Roman"/>
          <w:b/>
          <w:bCs/>
          <w:color w:val="000000"/>
          <w:kern w:val="0"/>
          <w:sz w:val="24"/>
          <w:szCs w:val="24"/>
          <w:lang w:val="es-ES" w:eastAsia="es-ES"/>
        </w:rPr>
        <w:t>del</w:t>
      </w:r>
      <w:r w:rsidRPr="00F31DE2">
        <w:rPr>
          <w:rFonts w:ascii="Times New Roman" w:eastAsia="Times New Roman" w:hAnsi="Times New Roman" w:cs="Times New Roman"/>
          <w:b/>
          <w:bCs/>
          <w:i/>
          <w:iCs/>
          <w:color w:val="000000"/>
          <w:kern w:val="0"/>
          <w:sz w:val="24"/>
          <w:szCs w:val="24"/>
          <w:lang w:val="es-ES" w:eastAsia="es-ES"/>
        </w:rPr>
        <w:t xml:space="preserve"> </w:t>
      </w:r>
      <w:r w:rsidRPr="00F31DE2">
        <w:rPr>
          <w:rFonts w:ascii="Times New Roman" w:eastAsia="Times New Roman" w:hAnsi="Times New Roman" w:cs="Times New Roman"/>
          <w:color w:val="000000"/>
          <w:kern w:val="0"/>
          <w:sz w:val="24"/>
          <w:szCs w:val="24"/>
          <w:lang w:val="es-ES" w:eastAsia="es-ES"/>
        </w:rPr>
        <w:t>setenta y cinco por ciento (75%) del impuesto sobre los ingresos Brutos, conforme las condiciones y requisitos que fije la reglamentación.</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El tratamiento fiscal aquí establecido corresponde siempre que el contribuyente y/o responsable no esté organizado en forma de empresa”.</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ab/>
        <w:t>La modificación propuesta en el párrafo precedente se encuentra fundada en la necesidad de promover el desarrollo económico de los contribuyentes, tanto personas humanas como jurídicas, inscriptos en el Régimen Simplificado del Impuesto sobre los Ingresos Brutos. La reducción de la carga tributaria permitirá a los pequeños contribuyentes reinvertir parte de sus ingresos en la mejora de sus servicios, expansión de sus negocios y, en muchos casos, en la generación de empleo. Esto contribuirá a la formación de un círculo virtuoso en el que se fortalezca la competitividad de los pequeños actores económicos, promoviendo su crecimiento y, en consecuencia, el dinamismo de la economía local.</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ab/>
        <w:t>Asimismo, se propone sustituir el inciso 1 del  artículo 303 del Código Fiscal por la siguiente redacción: </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“Artículo 303.- Están exentos del pago de este gravamen:</w:t>
      </w:r>
    </w:p>
    <w:p w:rsidR="00F31DE2" w:rsidRPr="00F31DE2" w:rsidRDefault="00F31DE2" w:rsidP="00F31DE2">
      <w:pPr>
        <w:spacing w:after="0"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1. Los ingresos provenientes de toda operación sobre títulos, letras, bonos, obligaciones y demás papeles emitidos y que se emitan en el futuro por la Nación, las Provincias, las Municipalidades y la Ciudad Autónoma de Buenos Aires, como así también las rentas producidas por los mismos o los ajustes de estabilización o corrección monetaria. </w:t>
      </w:r>
    </w:p>
    <w:p w:rsidR="00F31DE2" w:rsidRPr="00F31DE2" w:rsidRDefault="00F31DE2" w:rsidP="00F31DE2">
      <w:pPr>
        <w:spacing w:after="0"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 xml:space="preserve">Toda operación sobre acciones y la percepción de dividendos y </w:t>
      </w:r>
      <w:proofErr w:type="spellStart"/>
      <w:r w:rsidRPr="00F31DE2">
        <w:rPr>
          <w:rFonts w:ascii="Times New Roman" w:eastAsia="Times New Roman" w:hAnsi="Times New Roman" w:cs="Times New Roman"/>
          <w:color w:val="000000"/>
          <w:kern w:val="0"/>
          <w:sz w:val="24"/>
          <w:szCs w:val="24"/>
          <w:lang w:val="es-ES" w:eastAsia="es-ES"/>
        </w:rPr>
        <w:t>revalúos</w:t>
      </w:r>
      <w:proofErr w:type="spellEnd"/>
      <w:r w:rsidRPr="00F31DE2">
        <w:rPr>
          <w:rFonts w:ascii="Times New Roman" w:eastAsia="Times New Roman" w:hAnsi="Times New Roman" w:cs="Times New Roman"/>
          <w:color w:val="000000"/>
          <w:kern w:val="0"/>
          <w:sz w:val="24"/>
          <w:szCs w:val="24"/>
          <w:lang w:val="es-ES" w:eastAsia="es-ES"/>
        </w:rPr>
        <w:t>.</w:t>
      </w:r>
    </w:p>
    <w:p w:rsidR="00F31DE2" w:rsidRPr="00F31DE2" w:rsidRDefault="00F31DE2" w:rsidP="00F31DE2">
      <w:pPr>
        <w:spacing w:after="0"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b/>
          <w:bCs/>
          <w:color w:val="000000"/>
          <w:kern w:val="0"/>
          <w:sz w:val="24"/>
          <w:szCs w:val="24"/>
          <w:lang w:val="es-ES" w:eastAsia="es-ES"/>
        </w:rPr>
        <w:t>Los títulos, bonos, letras, certificados de participación, operaciones de pases y demás instrumentos emitidos y que se emitan en el futuro por el Banco Central de la República Argentina.</w:t>
      </w:r>
    </w:p>
    <w:p w:rsidR="00F31DE2" w:rsidRPr="00F31DE2" w:rsidRDefault="00F31DE2" w:rsidP="00F31DE2">
      <w:pPr>
        <w:spacing w:after="0"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Los ingresos provenientes de toda operación sobre obligaciones negociables emitidas de conformidad a lo dispuesto por la Ley Nacional N°. 23.576, la percepción de intereses y actualizaciones devengadas y el valor de venta en caso de transferencia, mientras le sea de aplicación la exención respecto del Impuesto a las Ganancias. </w:t>
      </w:r>
    </w:p>
    <w:p w:rsidR="00F31DE2" w:rsidRPr="00F31DE2" w:rsidRDefault="00F31DE2" w:rsidP="00F31DE2">
      <w:pPr>
        <w:spacing w:after="0"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Las actividades desarrolladas por los agentes de bolsa y por todo tipo de intermediarios en relación con tales operaciones no se encuentran alcanzadas por la presente exención.</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b/>
          <w:bCs/>
          <w:color w:val="000000"/>
          <w:kern w:val="0"/>
          <w:sz w:val="24"/>
          <w:szCs w:val="24"/>
          <w:lang w:val="es-ES" w:eastAsia="es-ES"/>
        </w:rPr>
        <w:t>Todas las operaciones financieras autorizadas por el Banco Central de la República Argentina entre entidades financieras y/o organismos estatales.”</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b/>
          <w:bCs/>
          <w:color w:val="000000"/>
          <w:kern w:val="0"/>
          <w:sz w:val="24"/>
          <w:szCs w:val="24"/>
          <w:lang w:val="es-ES" w:eastAsia="es-ES"/>
        </w:rPr>
        <w:tab/>
      </w:r>
      <w:r w:rsidRPr="00F31DE2">
        <w:rPr>
          <w:rFonts w:ascii="Times New Roman" w:eastAsia="Times New Roman" w:hAnsi="Times New Roman" w:cs="Times New Roman"/>
          <w:color w:val="000000"/>
          <w:kern w:val="0"/>
          <w:sz w:val="24"/>
          <w:szCs w:val="24"/>
          <w:lang w:val="es-ES" w:eastAsia="es-ES"/>
        </w:rPr>
        <w:t xml:space="preserve">La modificación propuesta precedentemente, busca evitar el traslado de los costos a todas las empresas, individuos y familias que utilizan servicios financieros. Cualquier </w:t>
      </w:r>
      <w:r w:rsidRPr="00F31DE2">
        <w:rPr>
          <w:rFonts w:ascii="Times New Roman" w:eastAsia="Times New Roman" w:hAnsi="Times New Roman" w:cs="Times New Roman"/>
          <w:color w:val="000000"/>
          <w:kern w:val="0"/>
          <w:sz w:val="24"/>
          <w:szCs w:val="24"/>
          <w:lang w:val="es-ES" w:eastAsia="es-ES"/>
        </w:rPr>
        <w:lastRenderedPageBreak/>
        <w:t xml:space="preserve">gravamen sobre estas operaciones terminaría siendo trasladado a las tasas, comisiones y cargos que enfrentan las empresas, las </w:t>
      </w:r>
      <w:proofErr w:type="spellStart"/>
      <w:r w:rsidRPr="00F31DE2">
        <w:rPr>
          <w:rFonts w:ascii="Times New Roman" w:eastAsia="Times New Roman" w:hAnsi="Times New Roman" w:cs="Times New Roman"/>
          <w:color w:val="000000"/>
          <w:kern w:val="0"/>
          <w:sz w:val="24"/>
          <w:szCs w:val="24"/>
          <w:lang w:val="es-ES" w:eastAsia="es-ES"/>
        </w:rPr>
        <w:t>PyMEs</w:t>
      </w:r>
      <w:proofErr w:type="spellEnd"/>
      <w:r w:rsidRPr="00F31DE2">
        <w:rPr>
          <w:rFonts w:ascii="Times New Roman" w:eastAsia="Times New Roman" w:hAnsi="Times New Roman" w:cs="Times New Roman"/>
          <w:color w:val="000000"/>
          <w:kern w:val="0"/>
          <w:sz w:val="24"/>
          <w:szCs w:val="24"/>
          <w:lang w:val="es-ES" w:eastAsia="es-ES"/>
        </w:rPr>
        <w:t>, los emprendedores y las familias usuarias de servicios financieros, encareciendo el crédito y los medios de pago; por ello se propone mantener exentas estas operaciones, a fin de evitar aumentos indirectos de la presión tributaria y resguardar el funcionamiento eficiente del sistema financiero en beneficio de todos los porteños.</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ab/>
        <w:t xml:space="preserve">Para finalizar y, con el fin de no perjudicar al inversor que busca hacer rendir su dinero, con diferentes alternativas de generación de rentabilidad, se propone la </w:t>
      </w:r>
      <w:r w:rsidRPr="00F31DE2">
        <w:rPr>
          <w:rFonts w:ascii="Times New Roman" w:eastAsia="Times New Roman" w:hAnsi="Times New Roman" w:cs="Times New Roman"/>
          <w:b/>
          <w:bCs/>
          <w:color w:val="000000"/>
          <w:kern w:val="0"/>
          <w:sz w:val="24"/>
          <w:szCs w:val="24"/>
          <w:lang w:val="es-ES" w:eastAsia="es-ES"/>
        </w:rPr>
        <w:t>eliminación del a del inciso 16 del artículo 1</w:t>
      </w:r>
      <w:r w:rsidRPr="00F31DE2">
        <w:rPr>
          <w:rFonts w:ascii="Times New Roman" w:eastAsia="Times New Roman" w:hAnsi="Times New Roman" w:cs="Times New Roman"/>
          <w:color w:val="000000"/>
          <w:kern w:val="0"/>
          <w:sz w:val="24"/>
          <w:szCs w:val="24"/>
          <w:lang w:val="es-ES" w:eastAsia="es-ES"/>
        </w:rPr>
        <w:t xml:space="preserve"> denominado, que pretende la incorporación del artículo 238 bis, dentro del Capítulo III del Título II “Fondos Comunes de Inversión. Rescate de </w:t>
      </w:r>
      <w:proofErr w:type="spellStart"/>
      <w:r w:rsidRPr="00F31DE2">
        <w:rPr>
          <w:rFonts w:ascii="Times New Roman" w:eastAsia="Times New Roman" w:hAnsi="Times New Roman" w:cs="Times New Roman"/>
          <w:color w:val="000000"/>
          <w:kern w:val="0"/>
          <w:sz w:val="24"/>
          <w:szCs w:val="24"/>
          <w:lang w:val="es-ES" w:eastAsia="es-ES"/>
        </w:rPr>
        <w:t>cuotaparte</w:t>
      </w:r>
      <w:proofErr w:type="spellEnd"/>
      <w:r w:rsidRPr="00F31DE2">
        <w:rPr>
          <w:rFonts w:ascii="Times New Roman" w:eastAsia="Times New Roman" w:hAnsi="Times New Roman" w:cs="Times New Roman"/>
          <w:color w:val="000000"/>
          <w:kern w:val="0"/>
          <w:sz w:val="24"/>
          <w:szCs w:val="24"/>
          <w:lang w:val="es-ES" w:eastAsia="es-ES"/>
        </w:rPr>
        <w:t>”. </w:t>
      </w:r>
    </w:p>
    <w:p w:rsidR="00F31DE2" w:rsidRPr="00F31DE2" w:rsidRDefault="00F31DE2" w:rsidP="00F31DE2">
      <w:pPr>
        <w:spacing w:line="240" w:lineRule="auto"/>
        <w:ind w:firstLine="720"/>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 xml:space="preserve">De esta forma, entendemos que se estaría gravando a </w:t>
      </w:r>
      <w:proofErr w:type="spellStart"/>
      <w:r w:rsidRPr="00F31DE2">
        <w:rPr>
          <w:rFonts w:ascii="Times New Roman" w:eastAsia="Times New Roman" w:hAnsi="Times New Roman" w:cs="Times New Roman"/>
          <w:color w:val="000000"/>
          <w:kern w:val="0"/>
          <w:sz w:val="24"/>
          <w:szCs w:val="24"/>
          <w:lang w:val="es-ES" w:eastAsia="es-ES"/>
        </w:rPr>
        <w:t>PyMes</w:t>
      </w:r>
      <w:proofErr w:type="spellEnd"/>
      <w:r w:rsidRPr="00F31DE2">
        <w:rPr>
          <w:rFonts w:ascii="Times New Roman" w:eastAsia="Times New Roman" w:hAnsi="Times New Roman" w:cs="Times New Roman"/>
          <w:color w:val="000000"/>
          <w:kern w:val="0"/>
          <w:sz w:val="24"/>
          <w:szCs w:val="24"/>
          <w:lang w:val="es-ES" w:eastAsia="es-ES"/>
        </w:rPr>
        <w:t xml:space="preserve"> y emprendedores: los Fondos Comunes de Inversión (FCI), de rescate inmediato, no son una inversión especulativa para un comerciante. En un contexto inflacionario el FCI sirve para no perder poder adquisitivo, no es especulativo. Se grava la mera evolución nominal, que es capital de trabajo.</w:t>
      </w:r>
    </w:p>
    <w:p w:rsidR="00F31DE2" w:rsidRPr="00F31DE2" w:rsidRDefault="00F31DE2" w:rsidP="00F31DE2">
      <w:pPr>
        <w:spacing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ab/>
        <w:t>Que, por tal motivo, solicito sea incorporada la presente observación en los términos y con los efectos previstos en el artículo 169 y demás artículos concordantes del Reglamento de la Legislatura de la Ciudad Autónoma de Buenos Aires.  </w:t>
      </w:r>
    </w:p>
    <w:p w:rsidR="00F31DE2" w:rsidRPr="00F31DE2" w:rsidRDefault="00F31DE2" w:rsidP="00F31DE2">
      <w:pPr>
        <w:spacing w:after="240" w:line="240" w:lineRule="auto"/>
        <w:rPr>
          <w:rFonts w:ascii="Times New Roman" w:eastAsia="Times New Roman" w:hAnsi="Times New Roman" w:cs="Times New Roman"/>
          <w:kern w:val="0"/>
          <w:sz w:val="24"/>
          <w:szCs w:val="24"/>
          <w:lang w:val="es-ES" w:eastAsia="es-ES"/>
        </w:rPr>
      </w:pPr>
    </w:p>
    <w:p w:rsidR="00F31DE2" w:rsidRDefault="00F31DE2" w:rsidP="00F31DE2">
      <w:pPr>
        <w:spacing w:before="220" w:after="0" w:line="240" w:lineRule="auto"/>
        <w:jc w:val="both"/>
        <w:rPr>
          <w:rFonts w:ascii="Times New Roman" w:eastAsia="Times New Roman" w:hAnsi="Times New Roman" w:cs="Times New Roman"/>
          <w:color w:val="000000"/>
          <w:kern w:val="0"/>
          <w:sz w:val="24"/>
          <w:szCs w:val="24"/>
          <w:lang w:val="es-ES" w:eastAsia="es-ES"/>
        </w:rPr>
      </w:pPr>
    </w:p>
    <w:p w:rsidR="00F31DE2" w:rsidRPr="00F31DE2" w:rsidRDefault="00DF61B3" w:rsidP="00DF61B3">
      <w:pPr>
        <w:spacing w:before="220" w:after="0" w:line="240" w:lineRule="auto"/>
        <w:jc w:val="both"/>
        <w:rPr>
          <w:rFonts w:ascii="Times New Roman" w:eastAsia="Times New Roman" w:hAnsi="Times New Roman" w:cs="Times New Roman"/>
          <w:kern w:val="0"/>
          <w:sz w:val="24"/>
          <w:szCs w:val="24"/>
          <w:lang w:val="es-ES" w:eastAsia="es-ES"/>
        </w:rPr>
      </w:pPr>
      <w:r w:rsidRPr="00F31DE2">
        <w:rPr>
          <w:rFonts w:ascii="Times New Roman" w:eastAsia="Times New Roman" w:hAnsi="Times New Roman" w:cs="Times New Roman"/>
          <w:color w:val="000000"/>
          <w:kern w:val="0"/>
          <w:sz w:val="24"/>
          <w:szCs w:val="24"/>
          <w:lang w:val="es-ES" w:eastAsia="es-ES"/>
        </w:rPr>
        <w:t>KIENAST, Marina</w:t>
      </w:r>
      <w:r>
        <w:rPr>
          <w:rFonts w:ascii="Times New Roman" w:eastAsia="Times New Roman" w:hAnsi="Times New Roman" w:cs="Times New Roman"/>
          <w:color w:val="000000"/>
          <w:kern w:val="0"/>
          <w:sz w:val="24"/>
          <w:szCs w:val="24"/>
          <w:lang w:val="es-ES" w:eastAsia="es-ES"/>
        </w:rPr>
        <w:t xml:space="preserve">; </w:t>
      </w:r>
      <w:r w:rsidR="00F31DE2" w:rsidRPr="00F31DE2">
        <w:rPr>
          <w:rFonts w:ascii="Times New Roman" w:eastAsia="Times New Roman" w:hAnsi="Times New Roman" w:cs="Times New Roman"/>
          <w:color w:val="000000"/>
          <w:kern w:val="0"/>
          <w:sz w:val="24"/>
          <w:szCs w:val="24"/>
          <w:lang w:val="es-ES" w:eastAsia="es-ES"/>
        </w:rPr>
        <w:t>FLEITAS, Rebeca</w:t>
      </w:r>
      <w:r>
        <w:rPr>
          <w:rFonts w:ascii="Times New Roman" w:eastAsia="Times New Roman" w:hAnsi="Times New Roman" w:cs="Times New Roman"/>
          <w:color w:val="000000"/>
          <w:kern w:val="0"/>
          <w:sz w:val="24"/>
          <w:szCs w:val="24"/>
          <w:lang w:val="es-ES" w:eastAsia="es-ES"/>
        </w:rPr>
        <w:t xml:space="preserve">; </w:t>
      </w:r>
      <w:r w:rsidR="00F31DE2" w:rsidRPr="00F31DE2">
        <w:rPr>
          <w:rFonts w:ascii="Times New Roman" w:eastAsia="Times New Roman" w:hAnsi="Times New Roman" w:cs="Times New Roman"/>
          <w:color w:val="000000"/>
          <w:kern w:val="0"/>
          <w:sz w:val="24"/>
          <w:szCs w:val="24"/>
          <w:lang w:val="es-ES" w:eastAsia="es-ES"/>
        </w:rPr>
        <w:t>MONTENEGRO, Lucia</w:t>
      </w:r>
      <w:r>
        <w:rPr>
          <w:rFonts w:ascii="Times New Roman" w:eastAsia="Times New Roman" w:hAnsi="Times New Roman" w:cs="Times New Roman"/>
          <w:color w:val="000000"/>
          <w:kern w:val="0"/>
          <w:sz w:val="24"/>
          <w:szCs w:val="24"/>
          <w:lang w:val="es-ES" w:eastAsia="es-ES"/>
        </w:rPr>
        <w:t xml:space="preserve">; </w:t>
      </w:r>
      <w:r w:rsidR="00F31DE2" w:rsidRPr="00F31DE2">
        <w:rPr>
          <w:rFonts w:ascii="Times New Roman" w:eastAsia="Times New Roman" w:hAnsi="Times New Roman" w:cs="Times New Roman"/>
          <w:color w:val="000000"/>
          <w:kern w:val="0"/>
          <w:sz w:val="24"/>
          <w:szCs w:val="24"/>
          <w:lang w:val="es-ES" w:eastAsia="es-ES"/>
        </w:rPr>
        <w:t>SAIFERT, Leonardo</w:t>
      </w:r>
      <w:r>
        <w:rPr>
          <w:rFonts w:ascii="Times New Roman" w:eastAsia="Times New Roman" w:hAnsi="Times New Roman" w:cs="Times New Roman"/>
          <w:color w:val="000000"/>
          <w:kern w:val="0"/>
          <w:sz w:val="24"/>
          <w:szCs w:val="24"/>
          <w:lang w:val="es-ES" w:eastAsia="es-ES"/>
        </w:rPr>
        <w:t xml:space="preserve">; </w:t>
      </w:r>
      <w:r w:rsidR="00F31DE2" w:rsidRPr="00F31DE2">
        <w:rPr>
          <w:rFonts w:ascii="Times New Roman" w:eastAsia="Times New Roman" w:hAnsi="Times New Roman" w:cs="Times New Roman"/>
          <w:color w:val="000000"/>
          <w:kern w:val="0"/>
          <w:sz w:val="24"/>
          <w:szCs w:val="24"/>
          <w:lang w:val="es-ES" w:eastAsia="es-ES"/>
        </w:rPr>
        <w:t>IMAS, Silvia.</w:t>
      </w:r>
    </w:p>
    <w:p w:rsidR="00AF6364" w:rsidRPr="004F14B4" w:rsidRDefault="00AF6364">
      <w:pPr>
        <w:rPr>
          <w:rFonts w:ascii="Times New Roman" w:hAnsi="Times New Roman" w:cs="Times New Roman"/>
        </w:rPr>
      </w:pPr>
    </w:p>
    <w:sectPr w:rsidR="00AF6364" w:rsidRPr="004F14B4" w:rsidSect="00C60B5C">
      <w:pgSz w:w="12240" w:h="20160" w:code="5"/>
      <w:pgMar w:top="1418"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B95" w:rsidRDefault="00D34B95" w:rsidP="00AF6364">
      <w:pPr>
        <w:spacing w:after="0" w:line="240" w:lineRule="auto"/>
      </w:pPr>
      <w:r>
        <w:separator/>
      </w:r>
    </w:p>
  </w:endnote>
  <w:endnote w:type="continuationSeparator" w:id="0">
    <w:p w:rsidR="00D34B95" w:rsidRDefault="00D34B95"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B95" w:rsidRDefault="00D34B95" w:rsidP="00AF6364">
      <w:pPr>
        <w:spacing w:after="0" w:line="240" w:lineRule="auto"/>
      </w:pPr>
      <w:r>
        <w:separator/>
      </w:r>
    </w:p>
  </w:footnote>
  <w:footnote w:type="continuationSeparator" w:id="0">
    <w:p w:rsidR="00D34B95" w:rsidRDefault="00D34B95" w:rsidP="00AF63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proofState w:spelling="clean" w:grammar="clean"/>
  <w:attachedTemplate r:id="rId1"/>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436F05"/>
    <w:rsid w:val="001025D8"/>
    <w:rsid w:val="002B0876"/>
    <w:rsid w:val="00425C91"/>
    <w:rsid w:val="00436F05"/>
    <w:rsid w:val="0047205C"/>
    <w:rsid w:val="004A51C5"/>
    <w:rsid w:val="004F14B4"/>
    <w:rsid w:val="00597CD1"/>
    <w:rsid w:val="00646C3C"/>
    <w:rsid w:val="006D1BAF"/>
    <w:rsid w:val="006E4861"/>
    <w:rsid w:val="0072782F"/>
    <w:rsid w:val="00746F04"/>
    <w:rsid w:val="00775D80"/>
    <w:rsid w:val="00785CAD"/>
    <w:rsid w:val="00813615"/>
    <w:rsid w:val="0081386C"/>
    <w:rsid w:val="00887FEC"/>
    <w:rsid w:val="009A4135"/>
    <w:rsid w:val="009E09A3"/>
    <w:rsid w:val="009F2151"/>
    <w:rsid w:val="00AB0DAF"/>
    <w:rsid w:val="00AF3B91"/>
    <w:rsid w:val="00AF6364"/>
    <w:rsid w:val="00C60B5C"/>
    <w:rsid w:val="00CA16B7"/>
    <w:rsid w:val="00CA30FD"/>
    <w:rsid w:val="00D34B95"/>
    <w:rsid w:val="00D5427C"/>
    <w:rsid w:val="00DA6887"/>
    <w:rsid w:val="00DF61B3"/>
    <w:rsid w:val="00E82E69"/>
    <w:rsid w:val="00F31DE2"/>
    <w:rsid w:val="00F47A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0FD"/>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styleId="NormalWeb">
    <w:name w:val="Normal (Web)"/>
    <w:basedOn w:val="Normal"/>
    <w:uiPriority w:val="99"/>
    <w:semiHidden/>
    <w:unhideWhenUsed/>
    <w:rsid w:val="00F31DE2"/>
    <w:pPr>
      <w:spacing w:before="100" w:beforeAutospacing="1" w:after="100" w:afterAutospacing="1" w:line="240" w:lineRule="auto"/>
    </w:pPr>
    <w:rPr>
      <w:rFonts w:ascii="Times New Roman" w:eastAsia="Times New Roman" w:hAnsi="Times New Roman" w:cs="Times New Roman"/>
      <w:kern w:val="0"/>
      <w:sz w:val="24"/>
      <w:szCs w:val="24"/>
      <w:lang w:val="es-ES" w:eastAsia="es-ES"/>
    </w:rPr>
  </w:style>
  <w:style w:type="character" w:customStyle="1" w:styleId="apple-tab-span">
    <w:name w:val="apple-tab-span"/>
    <w:basedOn w:val="Fuentedeprrafopredeter"/>
    <w:rsid w:val="00F31DE2"/>
  </w:style>
</w:styles>
</file>

<file path=word/webSettings.xml><?xml version="1.0" encoding="utf-8"?>
<w:webSettings xmlns:r="http://schemas.openxmlformats.org/officeDocument/2006/relationships" xmlns:w="http://schemas.openxmlformats.org/wordprocessingml/2006/main">
  <w:divs>
    <w:div w:id="19567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weiss\Downloads\3caafb4b-8b46-4eed-92fb-f364676a4d6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3caafb4b-8b46-4eed-92fb-f364676a4d66.dotx</Template>
  <TotalTime>3</TotalTime>
  <Pages>2</Pages>
  <Words>881</Words>
  <Characters>4849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maweiss</dc:creator>
  <cp:lastModifiedBy>luantonelli</cp:lastModifiedBy>
  <cp:revision>3</cp:revision>
  <cp:lastPrinted>2025-11-25T14:32:00Z</cp:lastPrinted>
  <dcterms:created xsi:type="dcterms:W3CDTF">2025-11-26T15:39:00Z</dcterms:created>
  <dcterms:modified xsi:type="dcterms:W3CDTF">2025-11-26T15:58:00Z</dcterms:modified>
</cp:coreProperties>
</file>