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788" w:rsidRDefault="00A30788" w:rsidP="00A30788">
      <w:pPr>
        <w:spacing w:before="240" w:after="0" w:line="240" w:lineRule="auto"/>
        <w:jc w:val="center"/>
        <w:rPr>
          <w:rFonts w:ascii="Times New Roman" w:eastAsia="Times New Roman" w:hAnsi="Times New Roman" w:cs="Times New Roman"/>
          <w:b/>
          <w:bCs/>
          <w:color w:val="000000"/>
          <w:kern w:val="0"/>
          <w:sz w:val="24"/>
          <w:szCs w:val="24"/>
          <w:u w:val="single"/>
          <w:lang w:val="es-ES" w:eastAsia="es-ES"/>
        </w:rPr>
      </w:pPr>
    </w:p>
    <w:p w:rsidR="00A30788" w:rsidRPr="00A30788" w:rsidRDefault="00A30788" w:rsidP="00A30788">
      <w:pPr>
        <w:spacing w:before="240" w:after="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u w:val="single"/>
          <w:lang w:val="es-ES" w:eastAsia="es-ES"/>
        </w:rPr>
        <w:t>OBSERVACIONES AL DESPACHO N° 741-25:</w:t>
      </w:r>
    </w:p>
    <w:p w:rsidR="00A30788" w:rsidRDefault="00A30788" w:rsidP="00A30788">
      <w:pPr>
        <w:spacing w:before="240" w:after="0" w:line="240" w:lineRule="auto"/>
        <w:jc w:val="center"/>
        <w:rPr>
          <w:rFonts w:ascii="Times New Roman" w:eastAsia="Times New Roman" w:hAnsi="Times New Roman" w:cs="Times New Roman"/>
          <w:b/>
          <w:bCs/>
          <w:color w:val="000000"/>
          <w:kern w:val="0"/>
          <w:sz w:val="24"/>
          <w:szCs w:val="24"/>
          <w:lang w:val="es-ES" w:eastAsia="es-ES"/>
        </w:rPr>
      </w:pPr>
    </w:p>
    <w:p w:rsidR="00A30788" w:rsidRPr="00A30788" w:rsidRDefault="00A30788" w:rsidP="00A30788">
      <w:pPr>
        <w:spacing w:before="240" w:after="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“LEY IMPOSITIVA 2026”</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Que conforme a lo previsto en el artículo 169 del Reglamento de la Legislatura de la Ciudad de Buenos Aires, venimos a plantear observaciones al </w:t>
      </w:r>
      <w:r w:rsidRPr="00A30788">
        <w:rPr>
          <w:rFonts w:ascii="Times New Roman" w:eastAsia="Times New Roman" w:hAnsi="Times New Roman" w:cs="Times New Roman"/>
          <w:b/>
          <w:bCs/>
          <w:color w:val="000000"/>
          <w:kern w:val="0"/>
          <w:sz w:val="24"/>
          <w:szCs w:val="24"/>
          <w:lang w:val="es-ES" w:eastAsia="es-ES"/>
        </w:rPr>
        <w:t xml:space="preserve">Despacho N° </w:t>
      </w:r>
      <w:r w:rsidRPr="00A30788">
        <w:rPr>
          <w:rFonts w:ascii="Times New Roman" w:eastAsia="Times New Roman" w:hAnsi="Times New Roman" w:cs="Times New Roman"/>
          <w:b/>
          <w:bCs/>
          <w:color w:val="000000"/>
          <w:kern w:val="0"/>
          <w:sz w:val="26"/>
          <w:szCs w:val="26"/>
          <w:lang w:val="es-ES" w:eastAsia="es-ES"/>
        </w:rPr>
        <w:t>0741-25</w:t>
      </w:r>
      <w:r w:rsidRPr="00A30788">
        <w:rPr>
          <w:rFonts w:ascii="Times New Roman" w:eastAsia="Times New Roman" w:hAnsi="Times New Roman" w:cs="Times New Roman"/>
          <w:color w:val="000000"/>
          <w:kern w:val="0"/>
          <w:sz w:val="24"/>
          <w:szCs w:val="24"/>
          <w:lang w:val="es-ES" w:eastAsia="es-ES"/>
        </w:rPr>
        <w:t>, conforme a las consideraciones que seguidamente pasan a efectuarse:</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Que el proyecto de Ley Impositiva sólo actualiza los tramos de facturación en torno al 10,1%, cuando la inflación proyectada por el Relevamiento de Expectativas de Mercado para el año 2026 se encuentra cercana al 19%. En contraposición a ello, el Gobierno de la Ciudad de Buenos Aires ha propuesto un aumento de sus recursos tributarios y de los gastos totales del 27,5% respecto al año 2025; de mantenerse esta brecha, numerosos contribuyentes pasarán a tributar alícuotas superiores únicamente por el aumento nominal de sus precios y no por un crecimiento real de su actividad, configurando un aumento encubierto de la presión fiscal. </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 dicho marco, se propone sustituir la redacción de los artículos 3, 5, 6, 8, 9, 10 y 11 del Anexo del despacho, disponiendo la correspondiente adecuación de las Planillas Adjuntas – Codificación NAES (Anexo I de la presente), a fin de reflejar correctamente las modificaciones introducidas: </w:t>
      </w:r>
    </w:p>
    <w:p w:rsidR="00A30788" w:rsidRPr="00A30788" w:rsidRDefault="00A30788" w:rsidP="00A30788">
      <w:pPr>
        <w:spacing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Artículo 3°.-</w:t>
      </w:r>
      <w:r w:rsidRPr="00A30788">
        <w:rPr>
          <w:rFonts w:ascii="Times New Roman" w:eastAsia="Times New Roman" w:hAnsi="Times New Roman" w:cs="Times New Roman"/>
          <w:color w:val="000000"/>
          <w:kern w:val="0"/>
          <w:sz w:val="24"/>
          <w:szCs w:val="24"/>
          <w:lang w:val="es-ES" w:eastAsia="es-ES"/>
        </w:rPr>
        <w:t xml:space="preserve"> De conformidad con lo dispuesto por el Código Fiscal, se establecen las alícuotas para las actividades de prestaciones de obras y/o servicios de Electricidad, Gas y Agua citadas en la “PLANILLA ADJUNTA DE ACTIVIDADES 3 – CODIFICACIÓN NAES” del presente Anexo, en tanto no tengan previsto otro tratamiento en esta Ley o en el Código Fiscal.</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las actividades sean realizadas por contribuyentes y/o responsables con ingresos brutos anuales en el ejercicio fiscal anterior iguales o inferiores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xml:space="preserve">, se establece la alícuota del 3,00%. Cuando estos ingresos brutos sean superiores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una alícuota del 3,75%.</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Los ingresos provenientes de los servicios de Electricidad, Gas y Agua, exceptuando los correspondientes al inciso 20 del artículo 19 y al artículo 58, y cuyo destinatario sea el consumidor residencial tributarán a la alícuota del 4,00%.”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Artículo 5°.-</w:t>
      </w:r>
      <w:r w:rsidRPr="00A30788">
        <w:rPr>
          <w:rFonts w:ascii="Times New Roman" w:eastAsia="Times New Roman" w:hAnsi="Times New Roman" w:cs="Times New Roman"/>
          <w:color w:val="000000"/>
          <w:kern w:val="0"/>
          <w:sz w:val="24"/>
          <w:szCs w:val="24"/>
          <w:lang w:val="es-ES" w:eastAsia="es-ES"/>
        </w:rPr>
        <w:t xml:space="preserve"> De conformidad con lo dispuesto por el Código Fiscal, se establecen las siguientes alícuotas para las actividades de Comercialización (mayorista y minorista), Reparaciones y otras actividades de prestaciones de obras y/o servicios que figuran en la “PLANILLA ADJUNTA DE ACTIVIDADES 5 – CODIFICACIÓN NAES” del presente Anexo, siempre que no se trate de actividades que en razón de existir distintas facetas pasibles de gravamen dentro del mismo rubro, en tanto no tengan previsto otro tratamiento en esta Ley o en el Código Fiscal.</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las actividades sean realizadas por contribuyentes y/o responsables con ingresos brutos anuales en el ejercicio fiscal anterior iguales o inferiores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la alícuota del 3,00%.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estos ingresos brutos sean superiores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una alícuota del 5,00%.”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Artículo 6°.-</w:t>
      </w:r>
      <w:r w:rsidRPr="00A30788">
        <w:rPr>
          <w:rFonts w:ascii="Times New Roman" w:eastAsia="Times New Roman" w:hAnsi="Times New Roman" w:cs="Times New Roman"/>
          <w:color w:val="000000"/>
          <w:kern w:val="0"/>
          <w:sz w:val="24"/>
          <w:szCs w:val="24"/>
          <w:lang w:val="es-ES" w:eastAsia="es-ES"/>
        </w:rPr>
        <w:t xml:space="preserve"> De conformidad con lo dispuesto por el Código Fiscal, se establecen las siguientes alícuotas para las actividades de prestaciones de obras y/o servicios de Restaurantes y Hoteles que figuran en la “PLANILLA ADJUNTA DE ACTIVIDADES 6 – CODIFICACIÓN NAES” del presente Anexo, en tanto no tengan previsto otro tratamiento en esta Ley o en el Código Fiscal.</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 xml:space="preserve">Cuando las actividades sean realizadas por contribuyentes y/o responsables con ingresos brutos anuales en el ejercicio fiscal anterior iguales o inferiores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la alícuota del 3,00%.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estos ingresos brutos sean superiores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una alícuota del 4,50%.”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Artículo 8°.-</w:t>
      </w:r>
      <w:r w:rsidRPr="00A30788">
        <w:rPr>
          <w:rFonts w:ascii="Times New Roman" w:eastAsia="Times New Roman" w:hAnsi="Times New Roman" w:cs="Times New Roman"/>
          <w:color w:val="000000"/>
          <w:kern w:val="0"/>
          <w:sz w:val="24"/>
          <w:szCs w:val="24"/>
          <w:lang w:val="es-ES" w:eastAsia="es-ES"/>
        </w:rPr>
        <w:t xml:space="preserve"> De conformidad con lo dispuesto por el Código Fiscal, se establecen las siguientes alícuotas para las actividades de prestaciones de obras y/o servicios relativas a las Comunicaciones, especificadas en la “PLANILLA ADJUNTA DE ACTIVIDADES 8 – CODIFICACIÓN NAES” del presente Anexo, en tanto no tengan previsto otro tratamiento en esta Ley o en el Código Fiscal.</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las actividades sean realizadas por contribuyentes y/o responsables con ingresos brutos anuales en el ejercicio fiscal anterior iguales o inferiores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la alícuota del 3,00%.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estos ingresos brutos sean superiores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una alícuota del 4,00%.”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Artículo 9°.-</w:t>
      </w:r>
      <w:r w:rsidRPr="00A30788">
        <w:rPr>
          <w:rFonts w:ascii="Times New Roman" w:eastAsia="Times New Roman" w:hAnsi="Times New Roman" w:cs="Times New Roman"/>
          <w:color w:val="000000"/>
          <w:kern w:val="0"/>
          <w:sz w:val="24"/>
          <w:szCs w:val="24"/>
          <w:lang w:val="es-ES" w:eastAsia="es-ES"/>
        </w:rPr>
        <w:t xml:space="preserve"> De conformidad con lo dispuesto por el Código Fiscal, se establecen las siguientes alícuotas para las actividades de prestaciones de obras y/o servicios relativas a los Servicios Inmobiliarios Empresariales y de Alquiler, especificadas en la “PLANILLA ADJUNTA DE ACTIVIDADES 9 – CODIFICACIÓN NAES” del presente Anexo, en tanto no tengan previsto otro tratamiento en esta Ley o en el Código Fiscal.</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las actividades sean realizadas por contribuyentes y/o responsables con ingresos brutos anuales en el ejercicio fiscal anterior iguales o inferiores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la alícuota del 3,00%.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estos ingresos brutos sean superiores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una alícuota del 5,00%.”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 xml:space="preserve">Artículo 10.- </w:t>
      </w:r>
      <w:r w:rsidRPr="00A30788">
        <w:rPr>
          <w:rFonts w:ascii="Times New Roman" w:eastAsia="Times New Roman" w:hAnsi="Times New Roman" w:cs="Times New Roman"/>
          <w:color w:val="000000"/>
          <w:kern w:val="0"/>
          <w:sz w:val="24"/>
          <w:szCs w:val="24"/>
          <w:lang w:val="es-ES" w:eastAsia="es-ES"/>
        </w:rPr>
        <w:t>De conformidad con lo dispuesto por el Código Fiscal, se establecen las siguientes alícuotas para las actividades de prestaciones de obras y/o servicios relativas a los Servicios Sociales y de Salud, especificadas en la “PLANILLA ADJUNTA DE ACTIVIDADES 10 – CODIFICACIÓN NAES” del presente Anexo, en tanto no tengan previsto otro tratamiento en esta Ley o en el Código Fiscal.</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las actividades sean realizadas por contribuyentes y/o responsables con ingresos brutos anuales en el ejercicio fiscal anterior, iguales o inferiores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la alícuota del 3,00%.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estos ingresos brutos sean superiores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una alícuota del 4,75%.” </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 xml:space="preserve">Artículo 11.- </w:t>
      </w:r>
      <w:r w:rsidRPr="00A30788">
        <w:rPr>
          <w:rFonts w:ascii="Times New Roman" w:eastAsia="Times New Roman" w:hAnsi="Times New Roman" w:cs="Times New Roman"/>
          <w:color w:val="000000"/>
          <w:kern w:val="0"/>
          <w:sz w:val="24"/>
          <w:szCs w:val="24"/>
          <w:lang w:val="es-ES" w:eastAsia="es-ES"/>
        </w:rPr>
        <w:t xml:space="preserve">De conformidad con lo dispuesto por el Código Fiscal, se establecen las siguientes alícuotas generales para las actividades de prestaciones de obras y/o servicios relativas a los Servicios Comunitarios, Sociales y Personales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Enseñanza, Administración Pública, Defensa y Seguridad Social Obligatoria especificadas en la “PLANILLA ADJUNTA DE ACTIVIDADES 11 – CODIFICACIÓN NAES” del presente Anexo, en tanto no tengan previsto otro tratamiento en esta Ley o en el Código Fiscal.</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las actividades sean realizadas por contribuyentes y/o responsables con ingresos brutos anuales en el ejercicio fiscal anterior, iguales o inferiores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la alícuota del 3,00%.</w:t>
      </w:r>
    </w:p>
    <w:p w:rsidR="00A30788" w:rsidRPr="00A30788" w:rsidRDefault="00A30788" w:rsidP="00A30788">
      <w:pPr>
        <w:spacing w:before="240" w:after="24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estos ingresos brutos sean superiores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se establece una alícuota del 5,00%.”</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Conforme a lo detallado con anterioridad, la propuesta busca elevar en al menos un 20% los topes de facturación para las alícuotas reducidas, a fin de preservar la neutralidad del impuesto y evitar que se considere “grandes contribuyentes” a quienes, en términos reales, no han tenido crecimiento económico.</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En igual sentido, consideramos necesario que las actividades comprendidas en el artículo 5 —comercio, servicios de reparación, pequeños prestadores de servicios— dejen de tener un umbral de facturación sensiblemente más bajo que el resto de las actividades y pasen a regirse por los mismos límites de ingresos brutos para acceder a la alícuota del 3%. Se trata, en su gran mayoría, de pymes, emprendedores y pequeños comercios de cercanía, que concentran una porción relevante del empleo y del entramado productivo de la Ciudad; mantener para ellos topes más bajos implica presionarlos impositivamente antes que al resto. En resumen, equiparar sus umbrales al del conjunto de las actividades supone un criterio de equidad horizontal y evita que el segmento más dinámico y vulnerable sea el primero en sufrir el aumento de alícuota.</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En esa línea, tenemos la certeza que bajar impuestos es una obligación para reactivar la actividad económica en la Ciudad, cobrarle más a las empresas que más invierten y generan empleo, como todo el ecosistema </w:t>
      </w:r>
      <w:proofErr w:type="spellStart"/>
      <w:r w:rsidRPr="00A30788">
        <w:rPr>
          <w:rFonts w:ascii="Times New Roman" w:eastAsia="Times New Roman" w:hAnsi="Times New Roman" w:cs="Times New Roman"/>
          <w:color w:val="000000"/>
          <w:kern w:val="0"/>
          <w:sz w:val="24"/>
          <w:szCs w:val="24"/>
          <w:lang w:val="es-ES" w:eastAsia="es-ES"/>
        </w:rPr>
        <w:t>Fintech</w:t>
      </w:r>
      <w:proofErr w:type="spellEnd"/>
      <w:r w:rsidRPr="00A30788">
        <w:rPr>
          <w:rFonts w:ascii="Times New Roman" w:eastAsia="Times New Roman" w:hAnsi="Times New Roman" w:cs="Times New Roman"/>
          <w:color w:val="000000"/>
          <w:kern w:val="0"/>
          <w:sz w:val="24"/>
          <w:szCs w:val="24"/>
          <w:lang w:val="es-ES" w:eastAsia="es-ES"/>
        </w:rPr>
        <w:t>, no tiene otra consecuencia que ahuyentar a las empresas de la Ciudad, en ese sentido, se propone</w:t>
      </w:r>
      <w:r w:rsidRPr="00A30788">
        <w:rPr>
          <w:rFonts w:ascii="Times New Roman" w:eastAsia="Times New Roman" w:hAnsi="Times New Roman" w:cs="Times New Roman"/>
          <w:b/>
          <w:bCs/>
          <w:color w:val="000000"/>
          <w:kern w:val="0"/>
          <w:sz w:val="24"/>
          <w:szCs w:val="24"/>
          <w:lang w:val="es-ES" w:eastAsia="es-ES"/>
        </w:rPr>
        <w:t xml:space="preserve"> la eliminación del artículo 12 inciso 7</w:t>
      </w:r>
      <w:r w:rsidRPr="00A30788">
        <w:rPr>
          <w:rFonts w:ascii="Times New Roman" w:eastAsia="Times New Roman" w:hAnsi="Times New Roman" w:cs="Times New Roman"/>
          <w:color w:val="000000"/>
          <w:kern w:val="0"/>
          <w:sz w:val="24"/>
          <w:szCs w:val="24"/>
          <w:lang w:val="es-ES" w:eastAsia="es-ES"/>
        </w:rPr>
        <w:t xml:space="preserve"> del Anexo del despacho. </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 ese sentido, cabe mencionar que las billeteras virtuales son servicios tecnológicos que facilitan la vida de la gente, no bancos tradicionales. No prestan fondos que reciben de la gente. Deben tributar sin sobretasas, no para beneficio de ellos, sino para beneficio de los comercios que utilizan estos servicios y aportan valor agregado. A la tecnología no hay que poner más impuestos, hay que fomentarla especialmente si son de acceso universal.</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Por otro lado, se propone la reducción de la alícuota para las actividades financieras del 8% al 6%, ya que sólo encarece el costo del crédito para financiamiento de empresas y familias, en ese sentido se sustituye el artículo 14 del Anexo del despacho por el siguiente: </w:t>
      </w:r>
    </w:p>
    <w:p w:rsidR="00A30788" w:rsidRPr="00A30788" w:rsidRDefault="00A30788" w:rsidP="00A30788">
      <w:pPr>
        <w:spacing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Artículo 14.-</w:t>
      </w:r>
      <w:r w:rsidRPr="00A30788">
        <w:rPr>
          <w:rFonts w:ascii="Times New Roman" w:eastAsia="Times New Roman" w:hAnsi="Times New Roman" w:cs="Times New Roman"/>
          <w:color w:val="000000"/>
          <w:kern w:val="0"/>
          <w:sz w:val="24"/>
          <w:szCs w:val="24"/>
          <w:lang w:val="es-ES" w:eastAsia="es-ES"/>
        </w:rPr>
        <w:t xml:space="preserve"> De conformidad con lo dispuesto por el Código Fiscal, se establece la alícuota del 6,00% para las actividades enumeradas a continuación:</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1. </w:t>
      </w:r>
      <w:r w:rsidRPr="00A30788">
        <w:rPr>
          <w:rFonts w:ascii="Times New Roman" w:eastAsia="Times New Roman" w:hAnsi="Times New Roman" w:cs="Times New Roman"/>
          <w:color w:val="000000"/>
          <w:kern w:val="0"/>
          <w:sz w:val="24"/>
          <w:szCs w:val="24"/>
          <w:lang w:val="es-ES" w:eastAsia="es-ES"/>
        </w:rPr>
        <w:tab/>
        <w:t>Préstamos de dinero (con garantía hipotecaria, con garantía recíproca o sin garantía real) descuentos de documentos de terceros, y operaciones de locación financiera y/o leasing, excluidas las actividades regidas por la Ley nacional 21.526 de Entidades Financieras. </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jc w:val="center"/>
        <w:tblCellMar>
          <w:top w:w="15" w:type="dxa"/>
          <w:left w:w="15" w:type="dxa"/>
          <w:bottom w:w="15" w:type="dxa"/>
          <w:right w:w="15" w:type="dxa"/>
        </w:tblCellMar>
        <w:tblLook w:val="04A0"/>
      </w:tblPr>
      <w:tblGrid>
        <w:gridCol w:w="950"/>
        <w:gridCol w:w="8118"/>
      </w:tblGrid>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641941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intermediación financiera realizada por las compañías financieras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641942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intermediación financiera realizada por sociedades de ahorro y préstamo para la vivienda y otros inmuebles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641943</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intermediación financiera realizada por cajas de crédito</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642000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sociedades de cartera</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643001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fideicomisos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649100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Arrendamiento financiero, leasing</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649210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Actividades de crédito para financiar otras actividades económicas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649291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crédito por parte de proveedores no financieros otorgados mediante plataformas de gestión electrónica, portales digitales y/o aplicaciones móviles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649292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crédito por parte de proveedores no financieros excepto los otorgados mediante plataformas móviles portales digitales y/o aplicaciones móviles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649299</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crédito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663000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gestión de fondos a cambio de una retribución o por contrata</w:t>
            </w:r>
          </w:p>
        </w:tc>
      </w:tr>
    </w:tbl>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2. </w:t>
      </w:r>
      <w:r w:rsidRPr="00A30788">
        <w:rPr>
          <w:rFonts w:ascii="Times New Roman" w:eastAsia="Times New Roman" w:hAnsi="Times New Roman" w:cs="Times New Roman"/>
          <w:color w:val="000000"/>
          <w:kern w:val="0"/>
          <w:sz w:val="24"/>
          <w:szCs w:val="24"/>
          <w:lang w:val="es-ES" w:eastAsia="es-ES"/>
        </w:rPr>
        <w:tab/>
        <w:t>Préstamos de dinero, descuentos de documentos de terceros y demás operaciones efectuadas por los bancos y otras instituciones sujetas al régimen de la Ley nacional 21.526 de Entidades Financieras, y para las operaciones celebradas por dichas Entidades Financieras que tienen por objeto la constitución de leasing.</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jc w:val="center"/>
        <w:tblCellMar>
          <w:top w:w="15" w:type="dxa"/>
          <w:left w:w="15" w:type="dxa"/>
          <w:bottom w:w="15" w:type="dxa"/>
          <w:right w:w="15" w:type="dxa"/>
        </w:tblCellMar>
        <w:tblLook w:val="04A0"/>
      </w:tblPr>
      <w:tblGrid>
        <w:gridCol w:w="950"/>
        <w:gridCol w:w="8118"/>
      </w:tblGrid>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641100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la banca central</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641910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la banca mayorista</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641920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la banca de inversión</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641930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la banca minorista</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641941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intermediación financiera realizada por las compañías financieras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641942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intermediación financiera realizada por sociedades de ahorro y préstamo para la vivienda y otros inmuebles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641943</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intermediación financiera realizada por cajas de crédito</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642000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sociedades de cartera</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643001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fideicomisos</w:t>
            </w:r>
          </w:p>
        </w:tc>
      </w:tr>
      <w:tr w:rsidR="00A30788" w:rsidRPr="00A30788" w:rsidTr="00A30788">
        <w:trPr>
          <w:trHeight w:val="408"/>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649100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Arrendamiento financiero, leasing</w:t>
            </w:r>
          </w:p>
        </w:tc>
      </w:tr>
    </w:tbl>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b/>
        <w:t>La modificación propuesta precedentemente, tiene como beneficiarios a todos los porteños que utilizan servicios financieros, especialmente los créditos financieros. Esto sería una ayuda directa especialmente para aquellos sectores que deben recurrir al endeudamiento para afrontar gastos esenciales y cotidianos. </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b/>
        <w:t xml:space="preserve">Asimismo, se propone la modificación del artículo 15 del Anexo del despacho, con el fin de no gravar la compraventa e intercambio de </w:t>
      </w:r>
      <w:proofErr w:type="spellStart"/>
      <w:r w:rsidRPr="00A30788">
        <w:rPr>
          <w:rFonts w:ascii="Times New Roman" w:eastAsia="Times New Roman" w:hAnsi="Times New Roman" w:cs="Times New Roman"/>
          <w:color w:val="000000"/>
          <w:kern w:val="0"/>
          <w:sz w:val="24"/>
          <w:szCs w:val="24"/>
          <w:lang w:val="es-ES" w:eastAsia="es-ES"/>
        </w:rPr>
        <w:t>criptoactivos</w:t>
      </w:r>
      <w:proofErr w:type="spellEnd"/>
      <w:r w:rsidRPr="00A30788">
        <w:rPr>
          <w:rFonts w:ascii="Times New Roman" w:eastAsia="Times New Roman" w:hAnsi="Times New Roman" w:cs="Times New Roman"/>
          <w:color w:val="000000"/>
          <w:kern w:val="0"/>
          <w:sz w:val="24"/>
          <w:szCs w:val="24"/>
          <w:lang w:val="es-ES" w:eastAsia="es-ES"/>
        </w:rPr>
        <w:t xml:space="preserve"> por cuenta propia por los ingresos derivados por la venta de moneda digital cuando las mismas provengan del canje por la comercialización de bienes y/o servicios. En ese sentido, se sustituye el texto por el siguiente: </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 xml:space="preserve">Artículo 15.- </w:t>
      </w:r>
      <w:r w:rsidRPr="00A30788">
        <w:rPr>
          <w:rFonts w:ascii="Times New Roman" w:eastAsia="Times New Roman" w:hAnsi="Times New Roman" w:cs="Times New Roman"/>
          <w:color w:val="000000"/>
          <w:kern w:val="0"/>
          <w:sz w:val="24"/>
          <w:szCs w:val="24"/>
          <w:lang w:val="es-ES" w:eastAsia="es-ES"/>
        </w:rPr>
        <w:t xml:space="preserve">De conformidad con lo dispuesto por el Código Fiscal, se establece la alícuota del 3,00% para los ingresos provenientes de las inversiones y/u operaciones financieras efectuadas por contribuyentes y/o responsables </w:t>
      </w:r>
      <w:r w:rsidRPr="00A30788">
        <w:rPr>
          <w:rFonts w:ascii="Times New Roman" w:eastAsia="Times New Roman" w:hAnsi="Times New Roman" w:cs="Times New Roman"/>
          <w:b/>
          <w:bCs/>
          <w:color w:val="000000"/>
          <w:kern w:val="0"/>
          <w:sz w:val="24"/>
          <w:szCs w:val="24"/>
          <w:lang w:val="es-ES" w:eastAsia="es-ES"/>
        </w:rPr>
        <w:t>que se encuentren incluidos en el art. 231, inciso 7,  del código fiscal vigente.</w:t>
      </w: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Cuando los contribuyentes y/o responsables registren ingresos brutos anuales en el ejercicio fiscal anterior superiores a pesos </w:t>
      </w:r>
      <w:r w:rsidRPr="00A30788">
        <w:rPr>
          <w:rFonts w:ascii="Times New Roman" w:eastAsia="Times New Roman" w:hAnsi="Times New Roman" w:cs="Times New Roman"/>
          <w:b/>
          <w:bCs/>
          <w:color w:val="000000"/>
          <w:kern w:val="0"/>
          <w:sz w:val="24"/>
          <w:szCs w:val="24"/>
          <w:lang w:val="es-ES" w:eastAsia="es-ES"/>
        </w:rPr>
        <w:t>dos mil cinco millones ($2.005.000.000)</w:t>
      </w:r>
      <w:r w:rsidRPr="00A30788">
        <w:rPr>
          <w:rFonts w:ascii="Times New Roman" w:eastAsia="Times New Roman" w:hAnsi="Times New Roman" w:cs="Times New Roman"/>
          <w:color w:val="000000"/>
          <w:kern w:val="0"/>
          <w:sz w:val="24"/>
          <w:szCs w:val="24"/>
          <w:lang w:val="es-ES" w:eastAsia="es-ES"/>
        </w:rPr>
        <w:t xml:space="preserve"> se establece una alícuota del 5,00%.</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tblCellMar>
          <w:top w:w="15" w:type="dxa"/>
          <w:left w:w="15" w:type="dxa"/>
          <w:bottom w:w="15" w:type="dxa"/>
          <w:right w:w="15" w:type="dxa"/>
        </w:tblCellMar>
        <w:tblLook w:val="04A0"/>
      </w:tblPr>
      <w:tblGrid>
        <w:gridCol w:w="860"/>
        <w:gridCol w:w="2723"/>
        <w:gridCol w:w="5395"/>
      </w:tblGrid>
      <w:tr w:rsidR="00A30788" w:rsidRPr="00A30788" w:rsidTr="00A30788">
        <w:trPr>
          <w:trHeight w:val="375"/>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649999</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financiación y actividades financieras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Exclusivamente para: </w:t>
            </w:r>
          </w:p>
        </w:tc>
      </w:tr>
      <w:tr w:rsidR="00A30788" w:rsidRPr="00A30788" w:rsidTr="00A30788">
        <w:trPr>
          <w:trHeight w:val="7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Las inversiones por cuenta propia en valores mobiliarios: inversión en acciones, obligaciones, títulos y otros instrumentos financieros.</w:t>
            </w:r>
          </w:p>
        </w:tc>
      </w:tr>
    </w:tbl>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ab/>
      </w:r>
      <w:r w:rsidRPr="00A30788">
        <w:rPr>
          <w:rFonts w:ascii="Times New Roman" w:eastAsia="Times New Roman" w:hAnsi="Times New Roman" w:cs="Times New Roman"/>
          <w:color w:val="000000"/>
          <w:kern w:val="0"/>
          <w:sz w:val="24"/>
          <w:szCs w:val="24"/>
          <w:lang w:val="es-ES" w:eastAsia="es-ES"/>
        </w:rPr>
        <w:t>Respecto a la propuesta mencionada, así como no se grava la venta de dólares que provenga del cobro en dicha moneda. Que todos los medios de pago (ej. USD o USDT) sean aceptados por igual, sin un doble gravamen al momento de intercambiarlos por pesos. </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Otro punto que se observa, excluir el código de actividad NAES 631203 (Intermediación mediante plataformas digitales). La inclusión de esta actividad en dicho artículo implica la aplicación de una alícuota agravada del 5,50%, lo que constituye un aumento injustificado de la presión tributaria sobre el comercio electrónico. Dicha actividad debe tributar conforme al régimen general de servicios informáticos, cuya alícuota máxima es del 5,00%.</w:t>
      </w:r>
    </w:p>
    <w:p w:rsidR="00A30788" w:rsidRPr="00A30788" w:rsidRDefault="00A30788" w:rsidP="00A30788">
      <w:pPr>
        <w:spacing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“Artículo 18.- De conformidad con lo dispuesto por el Código Fiscal, se establece la alícuota del 5,50% para toda actividad de intermediación que se ejerza percibiendo comisiones, bonificaciones, porcentajes u otras retribuciones análogas tales como consignaciones, intermediación en la compraventa, de bienes muebles e inmuebles en forma pública o privada, agencias o representaciones para la venta de mercaderías de propiedad de terceros, comisiones por publicidad o actividades similares, que tributan sobre una base imponible especial y no tienen previsto un tratamiento específico en la Ley Impositiva. </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jc w:val="center"/>
        <w:tblCellMar>
          <w:top w:w="15" w:type="dxa"/>
          <w:left w:w="15" w:type="dxa"/>
          <w:bottom w:w="15" w:type="dxa"/>
          <w:right w:w="15" w:type="dxa"/>
        </w:tblCellMar>
        <w:tblLook w:val="04A0"/>
      </w:tblPr>
      <w:tblGrid>
        <w:gridCol w:w="950"/>
        <w:gridCol w:w="8118"/>
      </w:tblGrid>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451112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en comisión de autos, camionetas y utilitarios nuevos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451192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en comisión de vehículos automotores nuevos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451212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en comisión de autos, camionetas y utilitarios, usados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451292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en comisión de vehículos automotores usados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454012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en comisión de motocicletas y de sus partes, piezas y accesorios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461011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cereales (incluye arroz), oleaginosas y forrajeras excepto semillas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461012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semillas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461013</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frutas </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461014</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Acopio y acondicionamiento en comisión o consignación de cereales (incluye arroz), oleaginosas y forrajeras excepto semillas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461019</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en comisión o consignación de productos agrícolas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461021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ganado bovino en pie</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461022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ganado en pie excepto bovino</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461029</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en comisión o consignación de productos pecuarios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461031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Operaciones de intermediación de carne - consignatario directo</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461032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Operaciones de intermediación de carne excepto consignatario directo</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461039</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en comisión o consignación de alimentos, bebidas y tabaco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461040</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combustibles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461091</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en comisión o consignación de productos textiles, prendas de vestir, calzado excepto el ortopédico, artículos de marroquinería, paraguas y similares y productos de cuero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461092</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madera y materiales para la construcción</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461093</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minerales, metales y productos químicos industriales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461094</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maquinaria, equipo profesional industrial y comercial, embarcaciones y aeronaves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461095</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comisión o consignación de papel, cartón, libros, revistas, diarios, materiales de embalaje y artículos de librería</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461099</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en comisión o consignación de mercaderías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682099</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inmobiliarios realizados a cambio de una retribución o por contrata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473009</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en comisión al por menor de combustible para vehículos automotores y motocicletas</w:t>
            </w:r>
          </w:p>
        </w:tc>
      </w:tr>
      <w:tr w:rsidR="00A30788" w:rsidRPr="00A30788" w:rsidTr="00A30788">
        <w:trPr>
          <w:jc w:val="center"/>
        </w:trPr>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631204</w:t>
            </w:r>
          </w:p>
        </w:tc>
        <w:tc>
          <w:tcPr>
            <w:tcW w:w="0" w:type="auto"/>
            <w:tcBorders>
              <w:top w:val="single" w:sz="6" w:space="0" w:color="00000A"/>
              <w:left w:val="single" w:sz="6" w:space="0" w:color="00000A"/>
              <w:bottom w:val="single" w:sz="6" w:space="0" w:color="00000A"/>
              <w:right w:val="single" w:sz="6" w:space="0" w:color="00000A"/>
            </w:tcBorders>
            <w:tcMar>
              <w:top w:w="28" w:type="dxa"/>
              <w:left w:w="115" w:type="dxa"/>
              <w:bottom w:w="28" w:type="dxa"/>
              <w:right w:w="115" w:type="dxa"/>
            </w:tcMar>
            <w:vAlign w:val="center"/>
            <w:hideMark/>
          </w:tcPr>
          <w:p w:rsidR="00A30788" w:rsidRPr="00A30788" w:rsidRDefault="00A30788" w:rsidP="00A30788">
            <w:pPr>
              <w:spacing w:after="0" w:line="0" w:lineRule="atLeast"/>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 de intermediación en la prestación de servicios de mensajería gestionados mediante plataformas de gestión electrónica, portales digitales y/o aplicaciones móviles</w:t>
            </w:r>
          </w:p>
        </w:tc>
      </w:tr>
    </w:tbl>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b/>
        <w:t xml:space="preserve">En concordancia con lo mencionado hasta el momento, se plantea la reducción </w:t>
      </w:r>
      <w:proofErr w:type="gramStart"/>
      <w:r w:rsidRPr="00A30788">
        <w:rPr>
          <w:rFonts w:ascii="Times New Roman" w:eastAsia="Times New Roman" w:hAnsi="Times New Roman" w:cs="Times New Roman"/>
          <w:color w:val="000000"/>
          <w:kern w:val="0"/>
          <w:sz w:val="24"/>
          <w:szCs w:val="24"/>
          <w:lang w:val="es-ES" w:eastAsia="es-ES"/>
        </w:rPr>
        <w:t>de los</w:t>
      </w:r>
      <w:proofErr w:type="gramEnd"/>
      <w:r w:rsidRPr="00A30788">
        <w:rPr>
          <w:rFonts w:ascii="Times New Roman" w:eastAsia="Times New Roman" w:hAnsi="Times New Roman" w:cs="Times New Roman"/>
          <w:color w:val="000000"/>
          <w:kern w:val="0"/>
          <w:sz w:val="24"/>
          <w:szCs w:val="24"/>
          <w:lang w:val="es-ES" w:eastAsia="es-ES"/>
        </w:rPr>
        <w:t xml:space="preserve"> Impuesto de Sellos, ello encuentra sentido en corregir una carga impositiva que carece de justificación económica y no ofrece contraprestación alguna. Este tributo encarece innecesariamente las transacciones formales, desincentiva la actividad contractual y representa un obstáculo al desarrollo de la economía. Con el objeto de avanzar hacia un sistema tributario más eficiente, que respete la libertad de las partes para contratar sin interferencias ni costos artificiales impuestos por el Estado, se propone la modificación de los artículos 31, 32, 33, 34 y 35 del despacho, los que quedarán redactados de la siguiente manera: </w:t>
      </w:r>
    </w:p>
    <w:p w:rsidR="00A30788" w:rsidRDefault="00A30788" w:rsidP="00A30788">
      <w:pPr>
        <w:spacing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"Artículo 31.-</w:t>
      </w:r>
      <w:r w:rsidRPr="00A30788">
        <w:rPr>
          <w:rFonts w:ascii="Times New Roman" w:eastAsia="Times New Roman" w:hAnsi="Times New Roman" w:cs="Times New Roman"/>
          <w:color w:val="000000"/>
          <w:kern w:val="0"/>
          <w:sz w:val="24"/>
          <w:szCs w:val="24"/>
          <w:lang w:val="es-ES" w:eastAsia="es-ES"/>
        </w:rPr>
        <w:t xml:space="preserve"> Fijar en el 1,20% la alícuota a la que se refiere el artículo 349 y el Capítulo II del Título III del Código Fiscal referido a las operaciones monetarias.</w:t>
      </w:r>
    </w:p>
    <w:p w:rsidR="00A30788" w:rsidRPr="00A30788" w:rsidRDefault="00A30788" w:rsidP="00A30788">
      <w:pPr>
        <w:spacing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color w:val="000000"/>
          <w:kern w:val="0"/>
          <w:sz w:val="24"/>
          <w:szCs w:val="24"/>
          <w:lang w:val="es-ES" w:eastAsia="es-ES"/>
        </w:rPr>
        <w:t>En caso de los intereses devengados por financiaciones, refinanciaciones y saldos deudores provenientes de operaciones realizadas mediante tarjetas de crédito, se establece una alícuota del 0,00%.</w:t>
      </w:r>
      <w:r w:rsidRPr="00A30788">
        <w:rPr>
          <w:rFonts w:ascii="Times New Roman" w:eastAsia="Times New Roman" w:hAnsi="Times New Roman" w:cs="Times New Roman"/>
          <w:color w:val="000000"/>
          <w:kern w:val="0"/>
          <w:sz w:val="24"/>
          <w:szCs w:val="24"/>
          <w:lang w:val="es-ES" w:eastAsia="es-ES"/>
        </w:rPr>
        <w:t>"</w:t>
      </w:r>
    </w:p>
    <w:p w:rsidR="00A30788" w:rsidRDefault="00A30788" w:rsidP="00A30788">
      <w:pPr>
        <w:spacing w:after="0" w:line="240" w:lineRule="auto"/>
        <w:jc w:val="both"/>
        <w:rPr>
          <w:rFonts w:ascii="Times New Roman" w:eastAsia="Times New Roman" w:hAnsi="Times New Roman" w:cs="Times New Roman"/>
          <w:color w:val="000000"/>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 “</w:t>
      </w:r>
      <w:r w:rsidRPr="00A30788">
        <w:rPr>
          <w:rFonts w:ascii="Times New Roman" w:eastAsia="Times New Roman" w:hAnsi="Times New Roman" w:cs="Times New Roman"/>
          <w:b/>
          <w:bCs/>
          <w:color w:val="000000"/>
          <w:kern w:val="0"/>
          <w:sz w:val="24"/>
          <w:szCs w:val="24"/>
          <w:lang w:val="es-ES" w:eastAsia="es-ES"/>
        </w:rPr>
        <w:t>Artículo 32.-</w:t>
      </w:r>
      <w:r w:rsidRPr="00A30788">
        <w:rPr>
          <w:rFonts w:ascii="Times New Roman" w:eastAsia="Times New Roman" w:hAnsi="Times New Roman" w:cs="Times New Roman"/>
          <w:color w:val="000000"/>
          <w:kern w:val="0"/>
          <w:sz w:val="24"/>
          <w:szCs w:val="24"/>
          <w:lang w:val="es-ES" w:eastAsia="es-ES"/>
        </w:rPr>
        <w:t xml:space="preserve"> Fijar en el </w:t>
      </w:r>
      <w:r w:rsidRPr="00A30788">
        <w:rPr>
          <w:rFonts w:ascii="Times New Roman" w:eastAsia="Times New Roman" w:hAnsi="Times New Roman" w:cs="Times New Roman"/>
          <w:b/>
          <w:bCs/>
          <w:color w:val="000000"/>
          <w:kern w:val="0"/>
          <w:sz w:val="24"/>
          <w:szCs w:val="24"/>
          <w:lang w:val="es-ES" w:eastAsia="es-ES"/>
        </w:rPr>
        <w:t xml:space="preserve">1,20% </w:t>
      </w:r>
      <w:r w:rsidRPr="00A30788">
        <w:rPr>
          <w:rFonts w:ascii="Times New Roman" w:eastAsia="Times New Roman" w:hAnsi="Times New Roman" w:cs="Times New Roman"/>
          <w:color w:val="000000"/>
          <w:kern w:val="0"/>
          <w:sz w:val="24"/>
          <w:szCs w:val="24"/>
          <w:lang w:val="es-ES" w:eastAsia="es-ES"/>
        </w:rPr>
        <w:t>la alícuota para los instrumentos de cualquier naturaleza u origen por los que se transfiere el dominio de automóviles usados radicados o que se radiquen en la Ciudad Autónoma de Buenos Aires. </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 xml:space="preserve">Cuando los instrumentos de cualquier naturaleza u origen por los que se transfiere el dominio de automóviles usados, radicados o que se radiquen en la Ciudad Autónoma de Buenos Aires, sean celebrados por agencias o concesionarios debidamente inscriptos como comerciantes </w:t>
      </w:r>
      <w:proofErr w:type="spellStart"/>
      <w:r w:rsidRPr="00A30788">
        <w:rPr>
          <w:rFonts w:ascii="Times New Roman" w:eastAsia="Times New Roman" w:hAnsi="Times New Roman" w:cs="Times New Roman"/>
          <w:color w:val="000000"/>
          <w:kern w:val="0"/>
          <w:sz w:val="24"/>
          <w:szCs w:val="24"/>
          <w:lang w:val="es-ES" w:eastAsia="es-ES"/>
        </w:rPr>
        <w:t>habitualistas</w:t>
      </w:r>
      <w:proofErr w:type="spellEnd"/>
      <w:r w:rsidRPr="00A30788">
        <w:rPr>
          <w:rFonts w:ascii="Times New Roman" w:eastAsia="Times New Roman" w:hAnsi="Times New Roman" w:cs="Times New Roman"/>
          <w:color w:val="000000"/>
          <w:kern w:val="0"/>
          <w:sz w:val="24"/>
          <w:szCs w:val="24"/>
          <w:lang w:val="es-ES" w:eastAsia="es-ES"/>
        </w:rPr>
        <w:t xml:space="preserve"> en el rubro y destinados a su posterior venta, se fija la alícuota del 1,50%.</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En los casos de transferencia del dominio de automóviles usados, radicados o que se radiquen en la Ciudad Autónoma de Buenos Aires, celebrados por agencias o concesionarios debidamente inscriptos como comerciantes </w:t>
      </w:r>
      <w:proofErr w:type="spellStart"/>
      <w:r w:rsidRPr="00A30788">
        <w:rPr>
          <w:rFonts w:ascii="Times New Roman" w:eastAsia="Times New Roman" w:hAnsi="Times New Roman" w:cs="Times New Roman"/>
          <w:color w:val="000000"/>
          <w:kern w:val="0"/>
          <w:sz w:val="24"/>
          <w:szCs w:val="24"/>
          <w:lang w:val="es-ES" w:eastAsia="es-ES"/>
        </w:rPr>
        <w:t>habitualistas</w:t>
      </w:r>
      <w:proofErr w:type="spellEnd"/>
      <w:r w:rsidRPr="00A30788">
        <w:rPr>
          <w:rFonts w:ascii="Times New Roman" w:eastAsia="Times New Roman" w:hAnsi="Times New Roman" w:cs="Times New Roman"/>
          <w:color w:val="000000"/>
          <w:kern w:val="0"/>
          <w:sz w:val="24"/>
          <w:szCs w:val="24"/>
          <w:lang w:val="es-ES" w:eastAsia="es-ES"/>
        </w:rPr>
        <w:t xml:space="preserve"> en el rubro, se computa como pago a cuenta el impuesto pagado al momento de su adquisición con destino a su posterior venta, siempre que la transferencia del dominio del vehículo se celebre dentro de los noventa (90) días corridos.”</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 xml:space="preserve">“Artículo 33.- </w:t>
      </w:r>
      <w:r w:rsidRPr="00A30788">
        <w:rPr>
          <w:rFonts w:ascii="Times New Roman" w:eastAsia="Times New Roman" w:hAnsi="Times New Roman" w:cs="Times New Roman"/>
          <w:color w:val="000000"/>
          <w:kern w:val="0"/>
          <w:sz w:val="24"/>
          <w:szCs w:val="24"/>
          <w:lang w:val="es-ES" w:eastAsia="es-ES"/>
        </w:rPr>
        <w:t xml:space="preserve">Fijar en el </w:t>
      </w:r>
      <w:r w:rsidRPr="00A30788">
        <w:rPr>
          <w:rFonts w:ascii="Times New Roman" w:eastAsia="Times New Roman" w:hAnsi="Times New Roman" w:cs="Times New Roman"/>
          <w:b/>
          <w:bCs/>
          <w:color w:val="000000"/>
          <w:kern w:val="0"/>
          <w:sz w:val="24"/>
          <w:szCs w:val="24"/>
          <w:lang w:val="es-ES" w:eastAsia="es-ES"/>
        </w:rPr>
        <w:t>1,20%</w:t>
      </w:r>
      <w:r w:rsidRPr="00A30788">
        <w:rPr>
          <w:rFonts w:ascii="Times New Roman" w:eastAsia="Times New Roman" w:hAnsi="Times New Roman" w:cs="Times New Roman"/>
          <w:color w:val="000000"/>
          <w:kern w:val="0"/>
          <w:sz w:val="24"/>
          <w:szCs w:val="24"/>
          <w:lang w:val="es-ES" w:eastAsia="es-ES"/>
        </w:rPr>
        <w:t xml:space="preserve"> la alícuota para los instrumentos de cualquier naturaleza u origen por los que se transfiere el dominio de automóviles nuevos radicados o que se radiquen en la Ciudad Autónoma de Buenos Aires.”</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“Artículo 34.-</w:t>
      </w:r>
      <w:r w:rsidRPr="00A30788">
        <w:rPr>
          <w:rFonts w:ascii="Times New Roman" w:eastAsia="Times New Roman" w:hAnsi="Times New Roman" w:cs="Times New Roman"/>
          <w:color w:val="000000"/>
          <w:kern w:val="0"/>
          <w:sz w:val="24"/>
          <w:szCs w:val="24"/>
          <w:lang w:val="es-ES" w:eastAsia="es-ES"/>
        </w:rPr>
        <w:t xml:space="preserve"> Fijar en el </w:t>
      </w:r>
      <w:r w:rsidRPr="00A30788">
        <w:rPr>
          <w:rFonts w:ascii="Times New Roman" w:eastAsia="Times New Roman" w:hAnsi="Times New Roman" w:cs="Times New Roman"/>
          <w:b/>
          <w:bCs/>
          <w:color w:val="000000"/>
          <w:kern w:val="0"/>
          <w:sz w:val="24"/>
          <w:szCs w:val="24"/>
          <w:lang w:val="es-ES" w:eastAsia="es-ES"/>
        </w:rPr>
        <w:t>1,75%</w:t>
      </w:r>
      <w:r w:rsidRPr="00A30788">
        <w:rPr>
          <w:rFonts w:ascii="Times New Roman" w:eastAsia="Times New Roman" w:hAnsi="Times New Roman" w:cs="Times New Roman"/>
          <w:color w:val="000000"/>
          <w:kern w:val="0"/>
          <w:sz w:val="24"/>
          <w:szCs w:val="24"/>
          <w:lang w:val="es-ES" w:eastAsia="es-ES"/>
        </w:rPr>
        <w:t xml:space="preserve"> la alícuota a que se refieren los artículos 330, 331, 332 y 339 del Código Fiscal.”</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 xml:space="preserve">“Artículo 35.- </w:t>
      </w:r>
      <w:r w:rsidRPr="00A30788">
        <w:rPr>
          <w:rFonts w:ascii="Times New Roman" w:eastAsia="Times New Roman" w:hAnsi="Times New Roman" w:cs="Times New Roman"/>
          <w:color w:val="000000"/>
          <w:kern w:val="0"/>
          <w:sz w:val="24"/>
          <w:szCs w:val="24"/>
          <w:lang w:val="es-ES" w:eastAsia="es-ES"/>
        </w:rPr>
        <w:t xml:space="preserve">Fijar en </w:t>
      </w:r>
      <w:r w:rsidRPr="00A30788">
        <w:rPr>
          <w:rFonts w:ascii="Times New Roman" w:eastAsia="Times New Roman" w:hAnsi="Times New Roman" w:cs="Times New Roman"/>
          <w:b/>
          <w:bCs/>
          <w:color w:val="000000"/>
          <w:kern w:val="0"/>
          <w:sz w:val="24"/>
          <w:szCs w:val="24"/>
          <w:lang w:val="es-ES" w:eastAsia="es-ES"/>
        </w:rPr>
        <w:t>0,25%</w:t>
      </w:r>
      <w:r w:rsidRPr="00A30788">
        <w:rPr>
          <w:rFonts w:ascii="Times New Roman" w:eastAsia="Times New Roman" w:hAnsi="Times New Roman" w:cs="Times New Roman"/>
          <w:color w:val="000000"/>
          <w:kern w:val="0"/>
          <w:sz w:val="24"/>
          <w:szCs w:val="24"/>
          <w:lang w:val="es-ES" w:eastAsia="es-ES"/>
        </w:rPr>
        <w:t xml:space="preserve"> la alícuota a </w:t>
      </w:r>
      <w:r w:rsidR="000F6A97">
        <w:rPr>
          <w:rFonts w:ascii="Times New Roman" w:eastAsia="Times New Roman" w:hAnsi="Times New Roman" w:cs="Times New Roman"/>
          <w:color w:val="000000"/>
          <w:kern w:val="0"/>
          <w:sz w:val="24"/>
          <w:szCs w:val="24"/>
          <w:lang w:val="es-ES" w:eastAsia="es-ES"/>
        </w:rPr>
        <w:t>que se refieren los artículos 34</w:t>
      </w:r>
      <w:r w:rsidRPr="00A30788">
        <w:rPr>
          <w:rFonts w:ascii="Times New Roman" w:eastAsia="Times New Roman" w:hAnsi="Times New Roman" w:cs="Times New Roman"/>
          <w:color w:val="000000"/>
          <w:kern w:val="0"/>
          <w:sz w:val="24"/>
          <w:szCs w:val="24"/>
          <w:lang w:val="es-ES" w:eastAsia="es-ES"/>
        </w:rPr>
        <w:t>4 y 3</w:t>
      </w:r>
      <w:r w:rsidR="000F6A97">
        <w:rPr>
          <w:rFonts w:ascii="Times New Roman" w:eastAsia="Times New Roman" w:hAnsi="Times New Roman" w:cs="Times New Roman"/>
          <w:color w:val="000000"/>
          <w:kern w:val="0"/>
          <w:sz w:val="24"/>
          <w:szCs w:val="24"/>
          <w:lang w:val="es-ES" w:eastAsia="es-ES"/>
        </w:rPr>
        <w:t>4</w:t>
      </w:r>
      <w:r w:rsidRPr="00A30788">
        <w:rPr>
          <w:rFonts w:ascii="Times New Roman" w:eastAsia="Times New Roman" w:hAnsi="Times New Roman" w:cs="Times New Roman"/>
          <w:color w:val="000000"/>
          <w:kern w:val="0"/>
          <w:sz w:val="24"/>
          <w:szCs w:val="24"/>
          <w:lang w:val="es-ES" w:eastAsia="es-ES"/>
        </w:rPr>
        <w:t>5 del Código Fiscal.”</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b/>
        <w:t>Por consiguiente, la reducción propuesta no sólo alivia la carga tributaria sobre la compraventa de automotores, sino que también envía una señal consistente de promoción de la formalidad, la inversión y el dinamismo de la actividad económica, en línea con un esquema tributario que privilegie la producción y el empleo por sobre la recaudación meramente fiscalista; también busca aliviar la carga fiscal que recae sobre los contribuyentes endeudados a través de tarjetas de crédito, evitando la aplicación del Impuesto de Sellos sobre los intereses propios de estas financiaciones.</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b/>
        <w:t xml:space="preserve">Por último, se propone la reducción a la mitad del Impuesto inmobiliario en la Ciudad Autónoma de Buenos Aires. Este tributo impacta directamente sobre el derecho de propiedad, desincentiva el ahorro en bienes durables y representa una carga permanente sobre un activo que ya ha sido </w:t>
      </w:r>
      <w:proofErr w:type="spellStart"/>
      <w:r w:rsidRPr="00A30788">
        <w:rPr>
          <w:rFonts w:ascii="Times New Roman" w:eastAsia="Times New Roman" w:hAnsi="Times New Roman" w:cs="Times New Roman"/>
          <w:color w:val="000000"/>
          <w:kern w:val="0"/>
          <w:sz w:val="24"/>
          <w:szCs w:val="24"/>
          <w:lang w:val="es-ES" w:eastAsia="es-ES"/>
        </w:rPr>
        <w:t>gravado</w:t>
      </w:r>
      <w:proofErr w:type="spellEnd"/>
      <w:r w:rsidRPr="00A30788">
        <w:rPr>
          <w:rFonts w:ascii="Times New Roman" w:eastAsia="Times New Roman" w:hAnsi="Times New Roman" w:cs="Times New Roman"/>
          <w:color w:val="000000"/>
          <w:kern w:val="0"/>
          <w:sz w:val="24"/>
          <w:szCs w:val="24"/>
          <w:lang w:val="es-ES" w:eastAsia="es-ES"/>
        </w:rPr>
        <w:t xml:space="preserve"> en múltiples etapas. Reducir su costo es reconocer el esfuerzo de miles de familias que destinan sus ingresos a adquirir una vivienda o sostener una propiedad. También contribuye a aliviar el costo fiscal de las pymes y emprendimientos que funcionan en inmuebles propios, fomentando así la actividad productiva local; conforme ello, se plantea sustituir el artículo 43 del despacho, por el siguiente:</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w:t>
      </w:r>
      <w:r w:rsidRPr="00A30788">
        <w:rPr>
          <w:rFonts w:ascii="Times New Roman" w:eastAsia="Times New Roman" w:hAnsi="Times New Roman" w:cs="Times New Roman"/>
          <w:b/>
          <w:bCs/>
          <w:color w:val="000000"/>
          <w:kern w:val="0"/>
          <w:sz w:val="24"/>
          <w:szCs w:val="24"/>
          <w:lang w:val="es-ES" w:eastAsia="es-ES"/>
        </w:rPr>
        <w:t>Artículo 43.-</w:t>
      </w:r>
      <w:r w:rsidRPr="00A30788">
        <w:rPr>
          <w:rFonts w:ascii="Times New Roman" w:eastAsia="Times New Roman" w:hAnsi="Times New Roman" w:cs="Times New Roman"/>
          <w:color w:val="000000"/>
          <w:kern w:val="0"/>
          <w:sz w:val="24"/>
          <w:szCs w:val="24"/>
          <w:lang w:val="es-ES" w:eastAsia="es-ES"/>
        </w:rPr>
        <w:t xml:space="preserve"> El monto del Impuesto Inmobiliario establecido en el inciso a) del artículo 371 del Código Fiscal se calcula aplicando la siguiente fórmula:</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II = CF + (VFH - lm) x al x USC</w:t>
      </w: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Siendo:</w:t>
      </w: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II: Impuesto Inmobiliario.</w:t>
      </w: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CF: Cuota Fija.</w:t>
      </w: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VFH: Valuación Fiscal Homogénea.</w:t>
      </w: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proofErr w:type="gramStart"/>
      <w:r w:rsidRPr="00A30788">
        <w:rPr>
          <w:rFonts w:ascii="Times New Roman" w:eastAsia="Times New Roman" w:hAnsi="Times New Roman" w:cs="Times New Roman"/>
          <w:color w:val="000000"/>
          <w:kern w:val="0"/>
          <w:sz w:val="24"/>
          <w:szCs w:val="24"/>
          <w:lang w:val="es-ES" w:eastAsia="es-ES"/>
        </w:rPr>
        <w:t>lm</w:t>
      </w:r>
      <w:proofErr w:type="gramEnd"/>
      <w:r w:rsidRPr="00A30788">
        <w:rPr>
          <w:rFonts w:ascii="Times New Roman" w:eastAsia="Times New Roman" w:hAnsi="Times New Roman" w:cs="Times New Roman"/>
          <w:color w:val="000000"/>
          <w:kern w:val="0"/>
          <w:sz w:val="24"/>
          <w:szCs w:val="24"/>
          <w:lang w:val="es-ES" w:eastAsia="es-ES"/>
        </w:rPr>
        <w:t>: Importe límite inferior del segmento.</w:t>
      </w:r>
    </w:p>
    <w:p w:rsidR="00A30788" w:rsidRPr="00A30788" w:rsidRDefault="00A30788" w:rsidP="00A30788">
      <w:pPr>
        <w:spacing w:after="0" w:line="240" w:lineRule="auto"/>
        <w:jc w:val="both"/>
        <w:rPr>
          <w:rFonts w:ascii="Times New Roman" w:eastAsia="Times New Roman" w:hAnsi="Times New Roman" w:cs="Times New Roman"/>
          <w:kern w:val="0"/>
          <w:sz w:val="24"/>
          <w:szCs w:val="24"/>
          <w:lang w:val="es-ES" w:eastAsia="es-ES"/>
        </w:rPr>
      </w:pPr>
      <w:proofErr w:type="gramStart"/>
      <w:r w:rsidRPr="00A30788">
        <w:rPr>
          <w:rFonts w:ascii="Times New Roman" w:eastAsia="Times New Roman" w:hAnsi="Times New Roman" w:cs="Times New Roman"/>
          <w:color w:val="000000"/>
          <w:kern w:val="0"/>
          <w:sz w:val="24"/>
          <w:szCs w:val="24"/>
          <w:lang w:val="es-ES" w:eastAsia="es-ES"/>
        </w:rPr>
        <w:t>al</w:t>
      </w:r>
      <w:proofErr w:type="gramEnd"/>
      <w:r w:rsidRPr="00A30788">
        <w:rPr>
          <w:rFonts w:ascii="Times New Roman" w:eastAsia="Times New Roman" w:hAnsi="Times New Roman" w:cs="Times New Roman"/>
          <w:color w:val="000000"/>
          <w:kern w:val="0"/>
          <w:sz w:val="24"/>
          <w:szCs w:val="24"/>
          <w:lang w:val="es-ES" w:eastAsia="es-ES"/>
        </w:rPr>
        <w:t>: Alícuota fijada para el segmento según la tabla del presente artículo.</w:t>
      </w:r>
    </w:p>
    <w:p w:rsidR="00A30788" w:rsidRDefault="00A30788" w:rsidP="00A30788">
      <w:pPr>
        <w:spacing w:after="0" w:line="240" w:lineRule="auto"/>
        <w:jc w:val="both"/>
        <w:rPr>
          <w:rFonts w:ascii="Times New Roman" w:eastAsia="Times New Roman" w:hAnsi="Times New Roman" w:cs="Times New Roman"/>
          <w:color w:val="000000"/>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USC: Unidad de Sustentabilidad Contributiva.</w:t>
      </w:r>
    </w:p>
    <w:p w:rsidR="009A7033" w:rsidRDefault="009A7033" w:rsidP="00A30788">
      <w:pPr>
        <w:spacing w:after="0" w:line="240" w:lineRule="auto"/>
        <w:jc w:val="both"/>
        <w:rPr>
          <w:rFonts w:ascii="Times New Roman" w:eastAsia="Times New Roman" w:hAnsi="Times New Roman" w:cs="Times New Roman"/>
          <w:kern w:val="0"/>
          <w:sz w:val="24"/>
          <w:szCs w:val="24"/>
          <w:lang w:val="es-ES" w:eastAsia="es-ES"/>
        </w:rPr>
      </w:pPr>
    </w:p>
    <w:p w:rsidR="009A7033" w:rsidRPr="00A30788" w:rsidRDefault="009A7033" w:rsidP="00A30788">
      <w:pPr>
        <w:spacing w:after="0" w:line="240" w:lineRule="auto"/>
        <w:jc w:val="both"/>
        <w:rPr>
          <w:rFonts w:ascii="Times New Roman" w:eastAsia="Times New Roman" w:hAnsi="Times New Roman" w:cs="Times New Roman"/>
          <w:kern w:val="0"/>
          <w:sz w:val="24"/>
          <w:szCs w:val="24"/>
          <w:lang w:val="es-ES" w:eastAsia="es-ES"/>
        </w:rPr>
      </w:pPr>
      <w:r>
        <w:rPr>
          <w:rFonts w:ascii="Times New Roman" w:eastAsia="Times New Roman" w:hAnsi="Times New Roman" w:cs="Times New Roman"/>
          <w:noProof/>
          <w:kern w:val="0"/>
          <w:sz w:val="24"/>
          <w:szCs w:val="24"/>
          <w:lang w:val="es-ES" w:eastAsia="es-ES"/>
        </w:rPr>
        <w:lastRenderedPageBreak/>
        <w:drawing>
          <wp:inline distT="0" distB="0" distL="0" distR="0">
            <wp:extent cx="4648011" cy="2425600"/>
            <wp:effectExtent l="19050" t="0" r="189" b="0"/>
            <wp:docPr id="1" name="0 Imagen" descr="Captura de pantalla 2025-11-05 174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5-11-05 174020.png"/>
                    <pic:cNvPicPr/>
                  </pic:nvPicPr>
                  <pic:blipFill>
                    <a:blip r:embed="rId6" cstate="print"/>
                    <a:stretch>
                      <a:fillRect/>
                    </a:stretch>
                  </pic:blipFill>
                  <pic:spPr>
                    <a:xfrm>
                      <a:off x="0" y="0"/>
                      <a:ext cx="4648829" cy="2426027"/>
                    </a:xfrm>
                    <a:prstGeom prst="rect">
                      <a:avLst/>
                    </a:prstGeom>
                  </pic:spPr>
                </pic:pic>
              </a:graphicData>
            </a:graphic>
          </wp:inline>
        </w:drawing>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Asimismo, la actualización de los tramos de Valuación Fiscal Homogénea prevista para 2026 se ubica sensiblemente por debajo de las proyecciones del 18,7% de inflación, lo que generará una </w:t>
      </w:r>
      <w:proofErr w:type="spellStart"/>
      <w:r w:rsidRPr="00A30788">
        <w:rPr>
          <w:rFonts w:ascii="Times New Roman" w:eastAsia="Times New Roman" w:hAnsi="Times New Roman" w:cs="Times New Roman"/>
          <w:color w:val="000000"/>
          <w:kern w:val="0"/>
          <w:sz w:val="24"/>
          <w:szCs w:val="24"/>
          <w:lang w:val="es-ES" w:eastAsia="es-ES"/>
        </w:rPr>
        <w:t>recategorización</w:t>
      </w:r>
      <w:proofErr w:type="spellEnd"/>
      <w:r w:rsidRPr="00A30788">
        <w:rPr>
          <w:rFonts w:ascii="Times New Roman" w:eastAsia="Times New Roman" w:hAnsi="Times New Roman" w:cs="Times New Roman"/>
          <w:color w:val="000000"/>
          <w:kern w:val="0"/>
          <w:sz w:val="24"/>
          <w:szCs w:val="24"/>
          <w:lang w:val="es-ES" w:eastAsia="es-ES"/>
        </w:rPr>
        <w:t xml:space="preserve"> automática de numerosos inmuebles hacia segmentos superiores sin que exista un incremento real en su capacidad contributiva. En otras palabras, muchos contribuyentes pasarán a pagar una alícuota más alta sólo por el aumento nominal de la valuación, configurando un incremento encubierto del Impuesto Inmobiliario. La reducción propuesta de las alícuotas sobre el excedente al límite mínimo de cada segmento procura precisamente morigerar este efecto, evitando que la falta de actualización adecuada de los límites de VFH derive en una carga impositiva desproporcionada sobre familias, </w:t>
      </w:r>
      <w:proofErr w:type="spellStart"/>
      <w:r w:rsidRPr="00A30788">
        <w:rPr>
          <w:rFonts w:ascii="Times New Roman" w:eastAsia="Times New Roman" w:hAnsi="Times New Roman" w:cs="Times New Roman"/>
          <w:color w:val="000000"/>
          <w:kern w:val="0"/>
          <w:sz w:val="24"/>
          <w:szCs w:val="24"/>
          <w:lang w:val="es-ES" w:eastAsia="es-ES"/>
        </w:rPr>
        <w:t>PyMEs</w:t>
      </w:r>
      <w:proofErr w:type="spellEnd"/>
      <w:r w:rsidRPr="00A30788">
        <w:rPr>
          <w:rFonts w:ascii="Times New Roman" w:eastAsia="Times New Roman" w:hAnsi="Times New Roman" w:cs="Times New Roman"/>
          <w:color w:val="000000"/>
          <w:kern w:val="0"/>
          <w:sz w:val="24"/>
          <w:szCs w:val="24"/>
          <w:lang w:val="es-ES" w:eastAsia="es-ES"/>
        </w:rPr>
        <w:t xml:space="preserve"> y pequeños emprendimientos que no han mejorado su situación patrimonial, y garantizando así que el tributo mantenga, como mínimo, la misma presión real que en el ejercicio anterior.</w:t>
      </w:r>
    </w:p>
    <w:p w:rsidR="00A30788" w:rsidRPr="00A30788" w:rsidRDefault="00A30788" w:rsidP="00A30788">
      <w:pPr>
        <w:spacing w:line="240" w:lineRule="auto"/>
        <w:ind w:firstLine="720"/>
        <w:jc w:val="both"/>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Que, por tal motivo, solicito sea incorporada la presente observación en los términos y con los efectos previstos en el artículo 169 y demás artículos concordantes del Reglamento de la Legislatura de la Ciudad Autónoma de Buenos Aires.  </w:t>
      </w:r>
    </w:p>
    <w:p w:rsidR="00A30788" w:rsidRDefault="00A30788" w:rsidP="00A30788">
      <w:pPr>
        <w:spacing w:after="24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after="240" w:line="240" w:lineRule="auto"/>
        <w:rPr>
          <w:rFonts w:ascii="Times New Roman" w:eastAsia="Times New Roman" w:hAnsi="Times New Roman" w:cs="Times New Roman"/>
          <w:kern w:val="0"/>
          <w:sz w:val="24"/>
          <w:szCs w:val="24"/>
          <w:lang w:val="es-ES" w:eastAsia="es-ES"/>
        </w:rPr>
      </w:pPr>
    </w:p>
    <w:p w:rsidR="00A30788" w:rsidRDefault="00A30788" w:rsidP="004206D8">
      <w:pPr>
        <w:spacing w:before="220" w:after="0" w:line="240" w:lineRule="auto"/>
        <w:jc w:val="both"/>
        <w:rPr>
          <w:rFonts w:ascii="Times New Roman" w:eastAsia="Times New Roman" w:hAnsi="Times New Roman" w:cs="Times New Roman"/>
          <w:color w:val="000000"/>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KIENAST, Marina</w:t>
      </w:r>
      <w:r w:rsidR="004206D8">
        <w:rPr>
          <w:rFonts w:ascii="Times New Roman" w:eastAsia="Times New Roman" w:hAnsi="Times New Roman" w:cs="Times New Roman"/>
          <w:color w:val="000000"/>
          <w:kern w:val="0"/>
          <w:sz w:val="24"/>
          <w:szCs w:val="24"/>
          <w:lang w:val="es-ES" w:eastAsia="es-ES"/>
        </w:rPr>
        <w:t xml:space="preserve">; </w:t>
      </w:r>
      <w:r w:rsidRPr="00A30788">
        <w:rPr>
          <w:rFonts w:ascii="Times New Roman" w:eastAsia="Times New Roman" w:hAnsi="Times New Roman" w:cs="Times New Roman"/>
          <w:color w:val="000000"/>
          <w:kern w:val="0"/>
          <w:sz w:val="24"/>
          <w:szCs w:val="24"/>
          <w:lang w:val="es-ES" w:eastAsia="es-ES"/>
        </w:rPr>
        <w:t>MONTENEGRO, Lucia</w:t>
      </w:r>
      <w:r w:rsidR="004206D8">
        <w:rPr>
          <w:rFonts w:ascii="Times New Roman" w:eastAsia="Times New Roman" w:hAnsi="Times New Roman" w:cs="Times New Roman"/>
          <w:color w:val="000000"/>
          <w:kern w:val="0"/>
          <w:sz w:val="24"/>
          <w:szCs w:val="24"/>
          <w:lang w:val="es-ES" w:eastAsia="es-ES"/>
        </w:rPr>
        <w:t xml:space="preserve">; </w:t>
      </w:r>
      <w:r w:rsidRPr="00A30788">
        <w:rPr>
          <w:rFonts w:ascii="Times New Roman" w:eastAsia="Times New Roman" w:hAnsi="Times New Roman" w:cs="Times New Roman"/>
          <w:color w:val="000000"/>
          <w:kern w:val="0"/>
          <w:sz w:val="24"/>
          <w:szCs w:val="24"/>
          <w:lang w:val="es-ES" w:eastAsia="es-ES"/>
        </w:rPr>
        <w:t>SAIFERT, Leonardo</w:t>
      </w:r>
      <w:r w:rsidR="004206D8">
        <w:rPr>
          <w:rFonts w:ascii="Times New Roman" w:eastAsia="Times New Roman" w:hAnsi="Times New Roman" w:cs="Times New Roman"/>
          <w:color w:val="000000"/>
          <w:kern w:val="0"/>
          <w:sz w:val="24"/>
          <w:szCs w:val="24"/>
          <w:lang w:val="es-ES" w:eastAsia="es-ES"/>
        </w:rPr>
        <w:t xml:space="preserve">; </w:t>
      </w:r>
      <w:r w:rsidRPr="00A30788">
        <w:rPr>
          <w:rFonts w:ascii="Times New Roman" w:eastAsia="Times New Roman" w:hAnsi="Times New Roman" w:cs="Times New Roman"/>
          <w:color w:val="000000"/>
          <w:kern w:val="0"/>
          <w:sz w:val="24"/>
          <w:szCs w:val="24"/>
          <w:lang w:val="es-ES" w:eastAsia="es-ES"/>
        </w:rPr>
        <w:t>IMAS, Silvia.</w:t>
      </w:r>
    </w:p>
    <w:p w:rsidR="004206D8" w:rsidRDefault="004206D8" w:rsidP="004206D8">
      <w:pPr>
        <w:spacing w:before="220" w:after="0" w:line="240" w:lineRule="auto"/>
        <w:jc w:val="both"/>
        <w:rPr>
          <w:rFonts w:ascii="Times New Roman" w:eastAsia="Times New Roman" w:hAnsi="Times New Roman" w:cs="Times New Roman"/>
          <w:color w:val="000000"/>
          <w:kern w:val="0"/>
          <w:sz w:val="24"/>
          <w:szCs w:val="24"/>
          <w:lang w:val="es-ES" w:eastAsia="es-ES"/>
        </w:rPr>
      </w:pPr>
    </w:p>
    <w:p w:rsidR="004206D8" w:rsidRPr="00A30788" w:rsidRDefault="004206D8" w:rsidP="004206D8">
      <w:pPr>
        <w:spacing w:before="220" w:after="0" w:line="240" w:lineRule="auto"/>
        <w:jc w:val="both"/>
        <w:rPr>
          <w:rFonts w:ascii="Times New Roman" w:eastAsia="Times New Roman" w:hAnsi="Times New Roman" w:cs="Times New Roman"/>
          <w:kern w:val="0"/>
          <w:sz w:val="24"/>
          <w:szCs w:val="24"/>
          <w:lang w:val="es-ES" w:eastAsia="es-ES"/>
        </w:rPr>
      </w:pPr>
    </w:p>
    <w:p w:rsidR="00A30788" w:rsidRPr="00A30788" w:rsidRDefault="00A30788" w:rsidP="00A30788">
      <w:pPr>
        <w:spacing w:before="220" w:after="0" w:line="240" w:lineRule="auto"/>
        <w:ind w:left="20"/>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32"/>
          <w:szCs w:val="32"/>
          <w:u w:val="single"/>
          <w:lang w:val="es-ES" w:eastAsia="es-ES"/>
        </w:rPr>
        <w:t>ANEXO I</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lang w:val="es-ES" w:eastAsia="es-ES"/>
        </w:rPr>
        <w:t>APARTADO III – ARTÍCULO 3°. PLANILLA ADJUNTA DE ACTIVIDADES 3 – CODIFICACIÓN NAES.</w:t>
      </w:r>
    </w:p>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lang w:val="es-ES" w:eastAsia="es-ES"/>
        </w:rPr>
        <w:t> </w:t>
      </w:r>
      <w:r w:rsidRPr="00A30788">
        <w:rPr>
          <w:rFonts w:ascii="Times New Roman" w:eastAsia="Times New Roman" w:hAnsi="Times New Roman" w:cs="Times New Roman"/>
          <w:b/>
          <w:bCs/>
          <w:color w:val="000000"/>
          <w:kern w:val="0"/>
          <w:lang w:val="es-ES" w:eastAsia="es-ES"/>
        </w:rPr>
        <w:tab/>
      </w:r>
      <w:r w:rsidRPr="00A30788">
        <w:rPr>
          <w:rFonts w:ascii="Times New Roman" w:eastAsia="Times New Roman" w:hAnsi="Times New Roman" w:cs="Times New Roman"/>
          <w:b/>
          <w:bCs/>
          <w:color w:val="000000"/>
          <w:kern w:val="0"/>
          <w:lang w:val="es-ES" w:eastAsia="es-ES"/>
        </w:rPr>
        <w:tab/>
      </w:r>
      <w:r w:rsidRPr="00A30788">
        <w:rPr>
          <w:rFonts w:ascii="Times New Roman" w:eastAsia="Times New Roman" w:hAnsi="Times New Roman" w:cs="Times New Roman"/>
          <w:b/>
          <w:bCs/>
          <w:color w:val="000000"/>
          <w:kern w:val="0"/>
          <w:lang w:val="es-ES" w:eastAsia="es-ES"/>
        </w:rPr>
        <w:tab/>
      </w:r>
      <w:r w:rsidRPr="00A30788">
        <w:rPr>
          <w:rFonts w:ascii="Times New Roman" w:eastAsia="Times New Roman" w:hAnsi="Times New Roman" w:cs="Times New Roman"/>
          <w:b/>
          <w:bCs/>
          <w:color w:val="000000"/>
          <w:kern w:val="0"/>
          <w:lang w:val="es-ES" w:eastAsia="es-ES"/>
        </w:rPr>
        <w:tab/>
        <w:t>ELECTRICIDAD, GAS Y AGUA</w:t>
      </w:r>
    </w:p>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 </w:t>
      </w:r>
    </w:p>
    <w:tbl>
      <w:tblPr>
        <w:tblW w:w="0" w:type="auto"/>
        <w:tblCellMar>
          <w:top w:w="15" w:type="dxa"/>
          <w:left w:w="15" w:type="dxa"/>
          <w:bottom w:w="15" w:type="dxa"/>
          <w:right w:w="15" w:type="dxa"/>
        </w:tblCellMar>
        <w:tblLook w:val="04A0"/>
      </w:tblPr>
      <w:tblGrid>
        <w:gridCol w:w="1065"/>
        <w:gridCol w:w="3623"/>
        <w:gridCol w:w="2287"/>
        <w:gridCol w:w="1983"/>
      </w:tblGrid>
      <w:tr w:rsidR="00A30788" w:rsidRPr="00A30788" w:rsidTr="00A30788">
        <w:trPr>
          <w:trHeight w:val="705"/>
          <w:tblHeader/>
        </w:trPr>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lang w:val="es-ES" w:eastAsia="es-ES"/>
              </w:rPr>
              <w:t>Código NAES</w:t>
            </w:r>
          </w:p>
        </w:tc>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lang w:val="es-ES" w:eastAsia="es-ES"/>
              </w:rPr>
              <w:t>Descripción NAES</w:t>
            </w:r>
          </w:p>
        </w:tc>
        <w:tc>
          <w:tcPr>
            <w:tcW w:w="0" w:type="auto"/>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lang w:val="es-ES" w:eastAsia="es-ES"/>
              </w:rPr>
              <w:t>Alícuota</w:t>
            </w:r>
          </w:p>
        </w:tc>
      </w:tr>
      <w:tr w:rsidR="00A30788" w:rsidRPr="00A30788" w:rsidTr="00A30788">
        <w:trPr>
          <w:trHeight w:val="990"/>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lang w:val="es-ES" w:eastAsia="es-ES"/>
              </w:rPr>
              <w:t>Facturación igual o menor a $2.005,0M</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lang w:val="es-ES" w:eastAsia="es-ES"/>
              </w:rPr>
              <w:t>Facturación mayor a $2.005,0M</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351110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Generación de energía térmica convencional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66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lastRenderedPageBreak/>
              <w:t>351120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Generación de energía térmica nuclear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64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351130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Generación de energía hidráulica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678"/>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351191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Generación de energías a partir de biomasa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618"/>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351199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 xml:space="preserve">Generación de energías </w:t>
            </w:r>
            <w:proofErr w:type="spellStart"/>
            <w:r w:rsidRPr="00A30788">
              <w:rPr>
                <w:rFonts w:ascii="Times New Roman" w:eastAsia="Times New Roman" w:hAnsi="Times New Roman" w:cs="Times New Roman"/>
                <w:color w:val="000000"/>
                <w:kern w:val="0"/>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678"/>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351201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Transporte de energía eléctrica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798"/>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351310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Comercio mayorista de energía eléctrica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648"/>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351320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Distribución de energía eléctrica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353001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Suministro de vapor y aire acondicionado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801"/>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352010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Fabricación de gas y procesamiento de gas natural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876"/>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352021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Distribución de combustibles gaseosos por tuberías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771"/>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352022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Distribución de gas natural – Ley Nacional N° 23.966-</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876"/>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360010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Captación, depuración y distribución de agua de fuentes subterráneas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r w:rsidR="00A30788" w:rsidRPr="00A30788" w:rsidTr="00A30788">
        <w:trPr>
          <w:trHeight w:val="88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360020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Captación, depuración y distribución de agua de fuentes superficiales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3,75%</w:t>
            </w:r>
          </w:p>
        </w:tc>
      </w:tr>
    </w:tbl>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lang w:val="es-ES" w:eastAsia="es-ES"/>
        </w:rPr>
        <w:t> </w:t>
      </w:r>
    </w:p>
    <w:p w:rsidR="00A30788" w:rsidRPr="00A30788" w:rsidRDefault="00A30788" w:rsidP="00A30788">
      <w:pPr>
        <w:spacing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lastRenderedPageBreak/>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9A7033" w:rsidRDefault="009A7033"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9A7033" w:rsidRDefault="009A7033"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9A7033" w:rsidRDefault="009A7033"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9A7033" w:rsidRDefault="009A7033"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Pr="00A30788" w:rsidRDefault="00A30788" w:rsidP="00A30788">
      <w:pPr>
        <w:spacing w:before="240" w:after="20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APARTADO V – ARTÍCULO 5°. PLANILLA ADJUNTA DE ACTIVIDADES 5 –CODIFICACIÓN NAES.</w:t>
      </w: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COMERCIO, REPARACIONES Y OTRAS</w:t>
      </w: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ACTIVIDADES COMPLEMENTARIAS</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tblCellMar>
          <w:top w:w="15" w:type="dxa"/>
          <w:left w:w="15" w:type="dxa"/>
          <w:bottom w:w="15" w:type="dxa"/>
          <w:right w:w="15" w:type="dxa"/>
        </w:tblCellMar>
        <w:tblLook w:val="04A0"/>
      </w:tblPr>
      <w:tblGrid>
        <w:gridCol w:w="989"/>
        <w:gridCol w:w="4582"/>
        <w:gridCol w:w="1697"/>
        <w:gridCol w:w="1620"/>
        <w:gridCol w:w="90"/>
      </w:tblGrid>
      <w:tr w:rsidR="00A30788" w:rsidRPr="00A30788" w:rsidTr="00A30788">
        <w:trPr>
          <w:trHeight w:val="765"/>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Código NAES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Descripción NAES</w:t>
            </w:r>
          </w:p>
        </w:tc>
        <w:tc>
          <w:tcPr>
            <w:tcW w:w="0" w:type="auto"/>
            <w:gridSpan w:val="3"/>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Alícuota</w:t>
            </w:r>
          </w:p>
        </w:tc>
      </w:tr>
      <w:tr w:rsidR="00A30788" w:rsidRPr="00A30788" w:rsidTr="00A30788">
        <w:trPr>
          <w:trHeight w:val="1562"/>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menor o igual a $2.005,0 M</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mayor a $2.005,0 M</w:t>
            </w:r>
          </w:p>
        </w:tc>
        <w:tc>
          <w:tcPr>
            <w:tcW w:w="0" w:type="auto"/>
            <w:tcBorders>
              <w:top w:val="single" w:sz="4" w:space="0" w:color="000000"/>
              <w:left w:val="single" w:sz="4" w:space="0" w:color="000000"/>
            </w:tcBorders>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293011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Rectificación de motores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7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301200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Construcción y reparación de embarcaciones de recreo y deporte</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73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302000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Fabricación y reparación de locomotoras y de material rodante para transporte ferroviario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303000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Fabricación y reparación de aeronaves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331101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y mantenimiento de productos de metal, excepto maquinaria y equipo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331210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y mantenimiento de maquinaria de uso general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331220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y mantenimiento de maquinaria y equipo de uso agropecuario y forestal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331290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Reparación y mantenimiento de maquinaria de uso especial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21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331301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y mantenimiento de instrumentos médicos, ópticos y de precisión; equipo fotográfico, aparatos para medir, ensayar o navegar; relojes, excepto para uso personal o doméstico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331400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y mantenimiento de maquinaria y aparatos eléctricos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331900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Reparación y mantenimiento de máquinas y equipo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439100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equipo de construcción o demolición dotado de operarios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452101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Lavado automático y manual de vehículos automotores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de cámaras y cubiertas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452220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de amortiguadores, alineación de dirección y balanceo de ruedas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5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452300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Instalación y reparación de parabrisas, lunetas y ventanillas, cerraduras no eléctricas y grabado de cristales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452401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Reparaciones eléctricas del tablero e instrumental; reparación y recarga de baterías; instalación de alarmas, radios, sistemas de climatización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452500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Tapizado y </w:t>
            </w:r>
            <w:proofErr w:type="spellStart"/>
            <w:r w:rsidRPr="00A30788">
              <w:rPr>
                <w:rFonts w:ascii="Times New Roman" w:eastAsia="Times New Roman" w:hAnsi="Times New Roman" w:cs="Times New Roman"/>
                <w:color w:val="000000"/>
                <w:kern w:val="0"/>
                <w:sz w:val="24"/>
                <w:szCs w:val="24"/>
                <w:lang w:val="es-ES" w:eastAsia="es-ES"/>
              </w:rPr>
              <w:t>retapizado</w:t>
            </w:r>
            <w:proofErr w:type="spellEnd"/>
            <w:r w:rsidRPr="00A30788">
              <w:rPr>
                <w:rFonts w:ascii="Times New Roman" w:eastAsia="Times New Roman" w:hAnsi="Times New Roman" w:cs="Times New Roman"/>
                <w:color w:val="000000"/>
                <w:kern w:val="0"/>
                <w:sz w:val="24"/>
                <w:szCs w:val="24"/>
                <w:lang w:val="es-ES" w:eastAsia="es-ES"/>
              </w:rPr>
              <w:t xml:space="preserve"> de automotores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3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452600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y pintura de carrocerías; colocación y reparación de guardabarros y protecciones exteriores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452700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Instalación y reparación de caños de escape y radiadores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452800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Mantenimiento y reparación de frenos y embragues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452910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Instalación y reparación de equipos de GNC</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452990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Mantenimiento y reparación del motor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mecánica integral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453100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partes, piezas y accesorios de vehículos automotores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453210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cámaras y cubiertas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453220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baterías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453291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partes, piezas y accesorios nuevos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453292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partes, piezas y accesorios usados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454011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de motocicletas y de sus partes, piezas y accesorios, excepto en comisión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454020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Mantenimiento y reparación de motocicletas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462120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semillas y granos para forrajes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462131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cereales (incluye arroz), oleaginosas y forrajeras excepto semillas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462132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Acopio y acondicionamiento de cereales y semillas, excepto de algodón y semillas y granos para forrajes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462190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materias primas agrícolas y de la silvicultura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462201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lanas, cueros en bruto y productos afines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462209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materias primas pecuarias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xml:space="preserve"> incluso animales vivos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productos lácteos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463112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fiambres y quesos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carnes rojas y derivados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463129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aves, huevos y productos de granja y de la caza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pescado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y empaque de frutas, de legumbres y hortalizas frescas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463151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pan, productos de confitería y pastas frescas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463152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azúcar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463153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aceites y grasas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463154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café, té, yerba mate y otras infusiones y especias y condimentos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463159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productos y subproductos de molinería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6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463160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chocolates, golosinas y productos para kioscos y </w:t>
            </w:r>
            <w:proofErr w:type="spellStart"/>
            <w:r w:rsidRPr="00A30788">
              <w:rPr>
                <w:rFonts w:ascii="Times New Roman" w:eastAsia="Times New Roman" w:hAnsi="Times New Roman" w:cs="Times New Roman"/>
                <w:color w:val="000000"/>
                <w:kern w:val="0"/>
                <w:sz w:val="24"/>
                <w:szCs w:val="24"/>
                <w:lang w:val="es-ES" w:eastAsia="es-ES"/>
              </w:rPr>
              <w:t>polirrubros</w:t>
            </w:r>
            <w:proofErr w:type="spellEnd"/>
            <w:r w:rsidRPr="00A30788">
              <w:rPr>
                <w:rFonts w:ascii="Times New Roman" w:eastAsia="Times New Roman" w:hAnsi="Times New Roman" w:cs="Times New Roman"/>
                <w:color w:val="000000"/>
                <w:kern w:val="0"/>
                <w:sz w:val="24"/>
                <w:szCs w:val="24"/>
                <w:lang w:val="es-ES" w:eastAsia="es-ES"/>
              </w:rPr>
              <w:t xml:space="preserve">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excepto cigarrillos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463170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alimentos balanceados para animales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463180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en supermercados mayoristas de alimentos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frutas, legumbres y cereales secos y en conserva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463199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productos alimenticios </w:t>
            </w:r>
            <w:proofErr w:type="spellStart"/>
            <w:r w:rsidRPr="00A30788">
              <w:rPr>
                <w:rFonts w:ascii="Times New Roman" w:eastAsia="Times New Roman" w:hAnsi="Times New Roman" w:cs="Times New Roman"/>
                <w:color w:val="000000"/>
                <w:kern w:val="0"/>
                <w:sz w:val="24"/>
                <w:szCs w:val="24"/>
                <w:lang w:val="es-ES" w:eastAsia="es-ES"/>
              </w:rPr>
              <w:lastRenderedPageBreak/>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463211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vino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463212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bebidas espiritosas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463219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bebidas alcohólicas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463220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bebidas no alcohólicas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tejidos (telas)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464112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mercería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464113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mantelería, ropa de cama y artículos textiles para el hogar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tapices y alfombras de materiales textiles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464119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productos textiles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prendas de vestir de cuero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464122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medias y prendas de punto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464129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prendas y accesorios de vestir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excepto uniformes y ropa de trabajo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calzado excepto el </w:t>
            </w:r>
            <w:r w:rsidRPr="00A30788">
              <w:rPr>
                <w:rFonts w:ascii="Times New Roman" w:eastAsia="Times New Roman" w:hAnsi="Times New Roman" w:cs="Times New Roman"/>
                <w:color w:val="000000"/>
                <w:kern w:val="0"/>
                <w:sz w:val="24"/>
                <w:szCs w:val="24"/>
                <w:lang w:val="es-ES" w:eastAsia="es-ES"/>
              </w:rPr>
              <w:lastRenderedPageBreak/>
              <w:t>ortopédico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464141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pieles y cueros curtidos y salados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464142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suelas y afines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464149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artículos de marroquinería, paraguas y productos similares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464150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uniformes y ropa de trabajo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464211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libros y publicaciones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464212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diarios y revistas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464221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papel y productos de papel y cartón excepto envases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464222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envases de papel y cartón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464223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librería y papelería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464310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productos farmacéuticos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464320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productos cosméticos, de tocador y de perfumería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464330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instrumental médico y odontológico y artículos ortopédicos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464340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productos veterinarios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464410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óptica y de fotografía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464420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relojería, joyería y fantasías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5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464501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electrodomésticos y artefactos para el hogar excepto equipos de audio y video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464502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equipos de audio, video y televisión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464610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muebles excepto de oficina; artículos de mimbre y corcho; colchones y somieres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464620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iluminación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12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464631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vidrio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464632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bazar y menaje excepto de vidrio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464910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w:t>
            </w:r>
            <w:proofErr w:type="spellStart"/>
            <w:r w:rsidRPr="00A30788">
              <w:rPr>
                <w:rFonts w:ascii="Times New Roman" w:eastAsia="Times New Roman" w:hAnsi="Times New Roman" w:cs="Times New Roman"/>
                <w:color w:val="000000"/>
                <w:kern w:val="0"/>
                <w:sz w:val="24"/>
                <w:szCs w:val="24"/>
                <w:lang w:val="es-ES" w:eastAsia="es-ES"/>
              </w:rPr>
              <w:t>CD's</w:t>
            </w:r>
            <w:proofErr w:type="spellEnd"/>
            <w:r w:rsidRPr="00A30788">
              <w:rPr>
                <w:rFonts w:ascii="Times New Roman" w:eastAsia="Times New Roman" w:hAnsi="Times New Roman" w:cs="Times New Roman"/>
                <w:color w:val="000000"/>
                <w:kern w:val="0"/>
                <w:sz w:val="24"/>
                <w:szCs w:val="24"/>
                <w:lang w:val="es-ES" w:eastAsia="es-ES"/>
              </w:rPr>
              <w:t xml:space="preserve"> y </w:t>
            </w:r>
            <w:proofErr w:type="spellStart"/>
            <w:r w:rsidRPr="00A30788">
              <w:rPr>
                <w:rFonts w:ascii="Times New Roman" w:eastAsia="Times New Roman" w:hAnsi="Times New Roman" w:cs="Times New Roman"/>
                <w:color w:val="000000"/>
                <w:kern w:val="0"/>
                <w:sz w:val="24"/>
                <w:szCs w:val="24"/>
                <w:lang w:val="es-ES" w:eastAsia="es-ES"/>
              </w:rPr>
              <w:t>DVD's</w:t>
            </w:r>
            <w:proofErr w:type="spellEnd"/>
            <w:r w:rsidRPr="00A30788">
              <w:rPr>
                <w:rFonts w:ascii="Times New Roman" w:eastAsia="Times New Roman" w:hAnsi="Times New Roman" w:cs="Times New Roman"/>
                <w:color w:val="000000"/>
                <w:kern w:val="0"/>
                <w:sz w:val="24"/>
                <w:szCs w:val="24"/>
                <w:lang w:val="es-ES" w:eastAsia="es-ES"/>
              </w:rPr>
              <w:t xml:space="preserve"> de audio y video grabados.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464920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materiales y productos de limpieza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464930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juguetes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464940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bicicletas y rodados similares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464950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esparcimiento y deportes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464991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flores y plantas naturales y artificiales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464999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artículos de uso doméstico o personal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465100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equipos, periféricos, accesorios y programas informáticos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equipos de telefonía y comunicaciones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465220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componentes electrónicos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8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465310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máquinas, equipos e implementos de uso en los sectores agropecuario, jardinería, silvicultura, pesca y caza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5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465320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máquinas, equipos e implementos de uso en la elaboración de alimentos, bebidas y tabaco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87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465330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máquinas, equipos e implementos de uso en la fabricación de textiles, prendas y accesorios de vestir, calzado, artículos de cuero y marroquinería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76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465340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máquinas, equipos e implementos de uso en imprentas, artes </w:t>
            </w:r>
            <w:r w:rsidRPr="00A30788">
              <w:rPr>
                <w:rFonts w:ascii="Times New Roman" w:eastAsia="Times New Roman" w:hAnsi="Times New Roman" w:cs="Times New Roman"/>
                <w:color w:val="000000"/>
                <w:kern w:val="0"/>
                <w:sz w:val="24"/>
                <w:szCs w:val="24"/>
                <w:lang w:val="es-ES" w:eastAsia="es-ES"/>
              </w:rPr>
              <w:lastRenderedPageBreak/>
              <w:t>gráficas y actividades conexas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9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465350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máquinas, equipos e implementos de uso médico y paramédico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82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465360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máquinas, equipos e implementos de uso en la industria del plástico y del caucho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9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465390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máquinas, equipos e implementos de uso especial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465400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máquinas - herramienta de uso general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5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465500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vehículos, equipos y máquinas para el transporte ferroviario, aéreo y de navegación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465610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muebles e instalaciones para oficinas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465690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muebles e instalaciones para la industria, el comercio y los servicios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465910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máquinas y equipo de control y seguridad</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465920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maquinaria y equipo de oficina, excepto equipo informático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465930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equipo profesional y científico e instrumentos de medida y de control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465990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máquinas, equipo y materiales conexos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466119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combustibles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xml:space="preserve"> y lubricantes para automotores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466121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Fraccionamiento y distribución de gas licuado.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5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466129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combustibles, lubricantes, leña y carbón, excepto gas licuado y combustibles y lubricantes para automotores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466200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metales y minerales metalíferos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466310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aberturas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2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466320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productos de madera excepto muebles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466330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ferretería y materiales eléctricos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466340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pinturas y productos conexos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466350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cristales y espejos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7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466360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para plomería, instalación de gas y calefacción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05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466370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papeles para pared, revestimiento para pisos de goma, plástico y textiles, y artículos similares para la decoración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84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466391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loza, cerámica y porcelana de uso en construcción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466399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artículos para la construcción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7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466910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productos intermedios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desperdicios y desechos textiles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73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466920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productos intermedios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desperdicios y desechos de papel y cartón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5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466931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artículos de plástico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466932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abonos, fertilizantes y plaguicidas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5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466939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productos intermedios, desperdicios y desechos de vidrio, caucho, goma y químicos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466940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productos intermedios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desperdicios y desechos metálicos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4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466990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productos intermedios, desperdicios y desechos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469010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mayor de insumos agropecuarios diversos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469090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mayor de mercancías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471110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en hipermercados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471120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en supermercados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471130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en </w:t>
            </w:r>
            <w:proofErr w:type="spellStart"/>
            <w:r w:rsidRPr="00A30788">
              <w:rPr>
                <w:rFonts w:ascii="Times New Roman" w:eastAsia="Times New Roman" w:hAnsi="Times New Roman" w:cs="Times New Roman"/>
                <w:color w:val="000000"/>
                <w:kern w:val="0"/>
                <w:sz w:val="24"/>
                <w:szCs w:val="24"/>
                <w:lang w:val="es-ES" w:eastAsia="es-ES"/>
              </w:rPr>
              <w:t>minimercados</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5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471191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en kioscos, </w:t>
            </w:r>
            <w:proofErr w:type="spellStart"/>
            <w:r w:rsidRPr="00A30788">
              <w:rPr>
                <w:rFonts w:ascii="Times New Roman" w:eastAsia="Times New Roman" w:hAnsi="Times New Roman" w:cs="Times New Roman"/>
                <w:color w:val="000000"/>
                <w:kern w:val="0"/>
                <w:sz w:val="24"/>
                <w:szCs w:val="24"/>
                <w:lang w:val="es-ES" w:eastAsia="es-ES"/>
              </w:rPr>
              <w:t>polirrubros</w:t>
            </w:r>
            <w:proofErr w:type="spellEnd"/>
            <w:r w:rsidRPr="00A30788">
              <w:rPr>
                <w:rFonts w:ascii="Times New Roman" w:eastAsia="Times New Roman" w:hAnsi="Times New Roman" w:cs="Times New Roman"/>
                <w:color w:val="000000"/>
                <w:kern w:val="0"/>
                <w:sz w:val="24"/>
                <w:szCs w:val="24"/>
                <w:lang w:val="es-ES" w:eastAsia="es-ES"/>
              </w:rPr>
              <w:t xml:space="preserve"> y comercios no especializados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excepto tabaco, cigarros y cigarrillos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471900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en comercios no especializados, sin predominio de productos alimenticios y bebidas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472172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bombones, golosinas y demás productos de confitería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472190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productos alimenticios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en comercios especializados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472200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bebidas en comercios especializados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474010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equipos, periféricos, accesorios y programas informáticos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474020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aparatos de telefonía y comunicación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475110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hilados, tejidos y artículos de mercería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475120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confecciones para el hogar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475190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artículos textiles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xml:space="preserve"> excepto prendas de vestir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475210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aberturas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475220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maderas y artículos de madera y corcho, excepto muebles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475230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artículos de ferretería y materiales eléctricos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475240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pinturas y productos conexos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475250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artículos para plomería e instalación de gas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475260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cristales, espejos, mamparas y cerramientos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475270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papeles para pared, revestimientos para pisos y artículos similares para la decoración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8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475290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materiales de construcción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electrodomésticos, artefactos para el hogar y equipos de audio y video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475410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muebles para el hogar, artículos de mimbre y corcho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475420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colchones y somieres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475430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artículos de iluminación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5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475440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artículos de bazar y menaje</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3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475490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artículos para el hogar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476111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libros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476112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libros con material condicionado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8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476121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diarios y revistas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476122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diarios y revistas con material condicionado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73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476130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papel, cartón, materiales de embalaje y artículos de librería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476200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w:t>
            </w:r>
            <w:proofErr w:type="spellStart"/>
            <w:r w:rsidRPr="00A30788">
              <w:rPr>
                <w:rFonts w:ascii="Times New Roman" w:eastAsia="Times New Roman" w:hAnsi="Times New Roman" w:cs="Times New Roman"/>
                <w:color w:val="000000"/>
                <w:kern w:val="0"/>
                <w:sz w:val="24"/>
                <w:szCs w:val="24"/>
                <w:lang w:val="es-ES" w:eastAsia="es-ES"/>
              </w:rPr>
              <w:t>CD´s</w:t>
            </w:r>
            <w:proofErr w:type="spellEnd"/>
            <w:r w:rsidRPr="00A30788">
              <w:rPr>
                <w:rFonts w:ascii="Times New Roman" w:eastAsia="Times New Roman" w:hAnsi="Times New Roman" w:cs="Times New Roman"/>
                <w:color w:val="000000"/>
                <w:kern w:val="0"/>
                <w:sz w:val="24"/>
                <w:szCs w:val="24"/>
                <w:lang w:val="es-ES" w:eastAsia="es-ES"/>
              </w:rPr>
              <w:t xml:space="preserve"> y </w:t>
            </w:r>
            <w:proofErr w:type="spellStart"/>
            <w:r w:rsidRPr="00A30788">
              <w:rPr>
                <w:rFonts w:ascii="Times New Roman" w:eastAsia="Times New Roman" w:hAnsi="Times New Roman" w:cs="Times New Roman"/>
                <w:color w:val="000000"/>
                <w:kern w:val="0"/>
                <w:sz w:val="24"/>
                <w:szCs w:val="24"/>
                <w:lang w:val="es-ES" w:eastAsia="es-ES"/>
              </w:rPr>
              <w:t>DVD´s</w:t>
            </w:r>
            <w:proofErr w:type="spellEnd"/>
            <w:r w:rsidRPr="00A30788">
              <w:rPr>
                <w:rFonts w:ascii="Times New Roman" w:eastAsia="Times New Roman" w:hAnsi="Times New Roman" w:cs="Times New Roman"/>
                <w:color w:val="000000"/>
                <w:kern w:val="0"/>
                <w:sz w:val="24"/>
                <w:szCs w:val="24"/>
                <w:lang w:val="es-ES" w:eastAsia="es-ES"/>
              </w:rPr>
              <w:t xml:space="preserve"> de audio y video grabados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476310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equipos y artículos deportivos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476320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armas, artículos para la caza y pesca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476400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juguetes, artículos de cotillón y juegos de mesa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477110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ropa interior, medias, prendas para dormir y para la playa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477120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uniformes escolares y guardapolvos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477130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indumentaria para bebés y niños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3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477140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indumentaria deportiva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3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477150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prendas de cuero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477190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prendas y accesorios de vestir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artículos de talabartería y artículos regionales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477220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calzado, excepto el ortopédico y el deportivo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5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477230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calzado deportivo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477290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artículos de marroquinería, paraguas y similares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477311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productos farmacéuticos y herboristería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477320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productos cosméticos, de tocador y de perfumería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477330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instrumental médico y odontológico y artículos ortopédicos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5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artículos de óptica y fotografía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7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artículos de relojería y joyería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3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477430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w:t>
            </w:r>
            <w:proofErr w:type="spellStart"/>
            <w:r w:rsidRPr="00A30788">
              <w:rPr>
                <w:rFonts w:ascii="Times New Roman" w:eastAsia="Times New Roman" w:hAnsi="Times New Roman" w:cs="Times New Roman"/>
                <w:color w:val="000000"/>
                <w:kern w:val="0"/>
                <w:sz w:val="24"/>
                <w:szCs w:val="24"/>
                <w:lang w:val="es-ES" w:eastAsia="es-ES"/>
              </w:rPr>
              <w:t>bijouterie</w:t>
            </w:r>
            <w:proofErr w:type="spellEnd"/>
            <w:r w:rsidRPr="00A30788">
              <w:rPr>
                <w:rFonts w:ascii="Times New Roman" w:eastAsia="Times New Roman" w:hAnsi="Times New Roman" w:cs="Times New Roman"/>
                <w:color w:val="000000"/>
                <w:kern w:val="0"/>
                <w:sz w:val="24"/>
                <w:szCs w:val="24"/>
                <w:lang w:val="es-ES" w:eastAsia="es-ES"/>
              </w:rPr>
              <w:t xml:space="preserve"> y fantasía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flores, plantas, semillas, abonos, fertilizantes y otros productos de vivero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2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477450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materiales y productos de limpieza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87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477461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combustibles comprendidos en la ley 23.966, excepto de producción propia y excepto para automotores y motocicletas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87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477462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combustible de producción propia comprendidos en la ley 23.966 excepto para vehículos automotores y motocicletas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477469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fuel </w:t>
            </w:r>
            <w:proofErr w:type="spellStart"/>
            <w:r w:rsidRPr="00A30788">
              <w:rPr>
                <w:rFonts w:ascii="Times New Roman" w:eastAsia="Times New Roman" w:hAnsi="Times New Roman" w:cs="Times New Roman"/>
                <w:color w:val="000000"/>
                <w:kern w:val="0"/>
                <w:sz w:val="24"/>
                <w:szCs w:val="24"/>
                <w:lang w:val="es-ES" w:eastAsia="es-ES"/>
              </w:rPr>
              <w:t>oil</w:t>
            </w:r>
            <w:proofErr w:type="spellEnd"/>
            <w:r w:rsidRPr="00A30788">
              <w:rPr>
                <w:rFonts w:ascii="Times New Roman" w:eastAsia="Times New Roman" w:hAnsi="Times New Roman" w:cs="Times New Roman"/>
                <w:color w:val="000000"/>
                <w:kern w:val="0"/>
                <w:sz w:val="24"/>
                <w:szCs w:val="24"/>
                <w:lang w:val="es-ES" w:eastAsia="es-ES"/>
              </w:rPr>
              <w:t>, gas en garrafas, carbón y leña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477470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productos veterinarios, animales domésticos y alimento balanceado para mascotas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477480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obras de arte</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477490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artículos nuevos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478010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de alimentos, bebidas y tabaco en puestos móviles y mercados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478090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de productos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xml:space="preserve"> en puestos móviles y mercados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479101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Venta al por menor por internet</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73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479109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por correo, televisión y otros medios de comunicación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479900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Venta al por menor no realizada en establecimientos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493110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 de transporte por oleoductos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493120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 de transporte por poliductos y </w:t>
            </w:r>
            <w:proofErr w:type="spellStart"/>
            <w:r w:rsidRPr="00A30788">
              <w:rPr>
                <w:rFonts w:ascii="Times New Roman" w:eastAsia="Times New Roman" w:hAnsi="Times New Roman" w:cs="Times New Roman"/>
                <w:color w:val="000000"/>
                <w:kern w:val="0"/>
                <w:sz w:val="24"/>
                <w:szCs w:val="24"/>
                <w:lang w:val="es-ES" w:eastAsia="es-ES"/>
              </w:rPr>
              <w:t>fueloductos</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493200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 de transporte por gasoductos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82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522010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almacenamiento</w:t>
            </w:r>
          </w:p>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y depósito en silos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522020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almacenamiento y depósito en cámaras frigoríficas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522091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usuarios directos de zona franca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522092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gestión de depósitos fiscales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522099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almacenamiento y depósito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523011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gestión aduanera realizados por despachantes de aduana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523019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gestión aduanera para el transporte de mercaderías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523020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agencias marítimas para el transporte de mercaderías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523031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gestión de agentes de transporte aduanero excepto agencias marítimas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523032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operadores logísticos seguros (OLS) en el ámbito aduanero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523039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operadores logísticos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523090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gestión y logística para el transporte de mercaderías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0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524110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explotación de infraestructura para el transporte terrestre, peajes y otros derechos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524120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playas de estacionamiento y garajes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524130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estaciones terminales de ómnibus y ferroviarias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524190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complementarios para el transporte terrestre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explotación de infraestructura para el transporte marítimo, derechos de puerto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524220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guarderías náuticas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524230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para la navegación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524290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complementarios para el transporte marítimo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524310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explotación de infraestructura para el transporte aéreo, derechos de aeropuerto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524320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hangares y estacionamiento de aeronaves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524330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para la aeronavegación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524390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complementarios para el transporte aéreo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951100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y mantenimiento de equipos informáticos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951200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y mantenimiento de equipos de comunicación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952100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de artículos eléctricos y electrónicos de uso doméstico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952200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de calzado y artículos de marroquinería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952300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de tapizados y muebles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60"/>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952910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Reforma y reparación de cerraduras, duplicación de llaves. Cerrajerías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952920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Reparación de relojes y joyas. Relojerías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r>
      <w:tr w:rsidR="00A30788" w:rsidRPr="00A30788" w:rsidTr="00A30788">
        <w:trPr>
          <w:trHeight w:val="91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952990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Reparación de efectos personales y enseres domésticos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c>
          <w:tcPr>
            <w:tcW w:w="0" w:type="auto"/>
            <w:tcBorders>
              <w:left w:val="single" w:sz="4" w:space="0" w:color="000000"/>
            </w:tcBorders>
            <w:hideMark/>
          </w:tcPr>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c>
      </w:tr>
    </w:tbl>
    <w:p w:rsidR="00A30788" w:rsidRPr="00A30788" w:rsidRDefault="00A30788" w:rsidP="00A30788">
      <w:pPr>
        <w:spacing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lastRenderedPageBreak/>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APARTADO VI – ARTÍCULO 6°. PLANILLA ADJUNTA DE ACTIVIDADES 6 – CODIFICACIÓN NAES.</w:t>
      </w: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RESTAURANTES Y HOTELES</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tblCellMar>
          <w:top w:w="15" w:type="dxa"/>
          <w:left w:w="15" w:type="dxa"/>
          <w:bottom w:w="15" w:type="dxa"/>
          <w:right w:w="15" w:type="dxa"/>
        </w:tblCellMar>
        <w:tblLook w:val="04A0"/>
      </w:tblPr>
      <w:tblGrid>
        <w:gridCol w:w="993"/>
        <w:gridCol w:w="4405"/>
        <w:gridCol w:w="1862"/>
        <w:gridCol w:w="1698"/>
      </w:tblGrid>
      <w:tr w:rsidR="00A30788" w:rsidRPr="00A30788" w:rsidTr="00A30788">
        <w:trPr>
          <w:trHeight w:val="435"/>
          <w:tblHeader/>
        </w:trPr>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Código NAES</w:t>
            </w:r>
          </w:p>
        </w:tc>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Descripción NAES</w:t>
            </w:r>
          </w:p>
        </w:tc>
        <w:tc>
          <w:tcPr>
            <w:tcW w:w="0" w:type="auto"/>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Alícuota</w:t>
            </w:r>
          </w:p>
        </w:tc>
      </w:tr>
      <w:tr w:rsidR="00A30788" w:rsidRPr="00A30788" w:rsidTr="00A30788">
        <w:trPr>
          <w:trHeight w:val="990"/>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menor o igual a $2.005,0M</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mayor a $2.005,0M</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107500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Elaboración de comidas preparadas para reventa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551010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alojamiento por hora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551021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alojamiento en pensiones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551022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alojamiento en hoteles, hosterías y residenciales similares, excepto por hora, que incluyen servicio de restaurante al público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551023</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alojamiento en hoteles, hosterías y residenciales similares, excepto por hora, que no incluyen servicio de restaurante al público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551090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hospedaje temporal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552000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alojamiento en campings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561011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restaurantes y cantinas sin espectáculo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561012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restaurantes y cantinas con espectáculo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561013</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w:t>
            </w:r>
            <w:proofErr w:type="spellStart"/>
            <w:r w:rsidRPr="00A30788">
              <w:rPr>
                <w:rFonts w:ascii="Times New Roman" w:eastAsia="Times New Roman" w:hAnsi="Times New Roman" w:cs="Times New Roman"/>
                <w:color w:val="000000"/>
                <w:kern w:val="0"/>
                <w:sz w:val="24"/>
                <w:szCs w:val="24"/>
                <w:lang w:val="es-ES" w:eastAsia="es-ES"/>
              </w:rPr>
              <w:t>fast</w:t>
            </w:r>
            <w:proofErr w:type="spellEnd"/>
            <w:r w:rsidRPr="00A30788">
              <w:rPr>
                <w:rFonts w:ascii="Times New Roman" w:eastAsia="Times New Roman" w:hAnsi="Times New Roman" w:cs="Times New Roman"/>
                <w:color w:val="000000"/>
                <w:kern w:val="0"/>
                <w:sz w:val="24"/>
                <w:szCs w:val="24"/>
                <w:lang w:val="es-ES" w:eastAsia="es-ES"/>
              </w:rPr>
              <w:t xml:space="preserve"> </w:t>
            </w:r>
            <w:proofErr w:type="spellStart"/>
            <w:r w:rsidRPr="00A30788">
              <w:rPr>
                <w:rFonts w:ascii="Times New Roman" w:eastAsia="Times New Roman" w:hAnsi="Times New Roman" w:cs="Times New Roman"/>
                <w:color w:val="000000"/>
                <w:kern w:val="0"/>
                <w:sz w:val="24"/>
                <w:szCs w:val="24"/>
                <w:lang w:val="es-ES" w:eastAsia="es-ES"/>
              </w:rPr>
              <w:t>food</w:t>
            </w:r>
            <w:proofErr w:type="spellEnd"/>
            <w:r w:rsidRPr="00A30788">
              <w:rPr>
                <w:rFonts w:ascii="Times New Roman" w:eastAsia="Times New Roman" w:hAnsi="Times New Roman" w:cs="Times New Roman"/>
                <w:color w:val="000000"/>
                <w:kern w:val="0"/>
                <w:sz w:val="24"/>
                <w:szCs w:val="24"/>
                <w:lang w:val="es-ES" w:eastAsia="es-ES"/>
              </w:rPr>
              <w:t>" y locales de venta de comidas y bebidas al paso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561014</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expendio de bebidas en bares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561019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expendio de comidas y bebidas en establecimientos con servicio de mesa y/o en mostrador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561020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preparación de comidas para llevar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561030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 de expendio de helados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561040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preparación de comidas realizadas por/para vendedores ambulantes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562010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preparación de comidas para empresas y eventos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562091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cantinas con atención exclusiva a los empleados o estudiantes dentro de empresas o establecimientos educativos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562099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comidas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4,50%</w:t>
            </w:r>
          </w:p>
        </w:tc>
      </w:tr>
    </w:tbl>
    <w:p w:rsidR="00A30788" w:rsidRPr="00A30788" w:rsidRDefault="00A30788" w:rsidP="00A30788">
      <w:pPr>
        <w:spacing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lastRenderedPageBreak/>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 xml:space="preserve">APARTADO VIII – ARTÍCULO 8°. PLANILLA ADJUNTA DE ACTIVIDADES 8 – </w:t>
      </w: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CODIFICACIÓN NAES”.</w:t>
      </w: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 COMUNICACIONES</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tblCellMar>
          <w:top w:w="15" w:type="dxa"/>
          <w:left w:w="15" w:type="dxa"/>
          <w:bottom w:w="15" w:type="dxa"/>
          <w:right w:w="15" w:type="dxa"/>
        </w:tblCellMar>
        <w:tblLook w:val="04A0"/>
      </w:tblPr>
      <w:tblGrid>
        <w:gridCol w:w="1040"/>
        <w:gridCol w:w="4043"/>
        <w:gridCol w:w="2044"/>
        <w:gridCol w:w="1831"/>
      </w:tblGrid>
      <w:tr w:rsidR="00A30788" w:rsidRPr="00A30788" w:rsidTr="00A30788">
        <w:trPr>
          <w:trHeight w:val="450"/>
          <w:tblHeader/>
        </w:trPr>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Código NAES</w:t>
            </w:r>
          </w:p>
        </w:tc>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Descripción NAES</w:t>
            </w:r>
          </w:p>
        </w:tc>
        <w:tc>
          <w:tcPr>
            <w:tcW w:w="0" w:type="auto"/>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Alícuota</w:t>
            </w:r>
          </w:p>
        </w:tc>
      </w:tr>
      <w:tr w:rsidR="00A30788" w:rsidRPr="00A30788" w:rsidTr="00A30788">
        <w:trPr>
          <w:trHeight w:val="990"/>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menor o igual a $2.005,0M</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mayor a $2.005,0M</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601000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Emisión y retransmisión de radio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602100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Emisión y retransmisión de televisión abierta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602200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Operadores de televisión por suscripción.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602310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Emisión de señales de televisión por suscripción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602900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televisión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611010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locutorios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611090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telefonía fija, excepto locutorios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613000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telecomunicaciones vía satélite, excepto servicios de transmisión de televisión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614010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proveedores de acceso a internet</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614090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telecomunicación vía internet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619000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telecomunicaciones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631121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locación de poder de minado de </w:t>
            </w:r>
            <w:proofErr w:type="spellStart"/>
            <w:r w:rsidRPr="00A30788">
              <w:rPr>
                <w:rFonts w:ascii="Times New Roman" w:eastAsia="Times New Roman" w:hAnsi="Times New Roman" w:cs="Times New Roman"/>
                <w:color w:val="000000"/>
                <w:kern w:val="0"/>
                <w:sz w:val="24"/>
                <w:szCs w:val="24"/>
                <w:lang w:val="es-ES" w:eastAsia="es-ES"/>
              </w:rPr>
              <w:t>criptoactivos</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123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631122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locación de poder de minado excepto de </w:t>
            </w:r>
            <w:proofErr w:type="spellStart"/>
            <w:r w:rsidRPr="00A30788">
              <w:rPr>
                <w:rFonts w:ascii="Times New Roman" w:eastAsia="Times New Roman" w:hAnsi="Times New Roman" w:cs="Times New Roman"/>
                <w:color w:val="000000"/>
                <w:kern w:val="0"/>
                <w:sz w:val="24"/>
                <w:szCs w:val="24"/>
                <w:lang w:val="es-ES" w:eastAsia="es-ES"/>
              </w:rPr>
              <w:t>criptoactivos</w:t>
            </w:r>
            <w:proofErr w:type="spellEnd"/>
          </w:p>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631123</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 de custodia de </w:t>
            </w:r>
            <w:proofErr w:type="spellStart"/>
            <w:r w:rsidRPr="00A30788">
              <w:rPr>
                <w:rFonts w:ascii="Times New Roman" w:eastAsia="Times New Roman" w:hAnsi="Times New Roman" w:cs="Times New Roman"/>
                <w:color w:val="000000"/>
                <w:kern w:val="0"/>
                <w:sz w:val="24"/>
                <w:szCs w:val="24"/>
                <w:lang w:val="es-ES" w:eastAsia="es-ES"/>
              </w:rPr>
              <w:t>criptoactivos</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631129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Hospedaje de datos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639100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Agencias de noticias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639900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información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4,00%</w:t>
            </w:r>
          </w:p>
        </w:tc>
      </w:tr>
    </w:tbl>
    <w:p w:rsidR="00A30788" w:rsidRPr="00A30788" w:rsidRDefault="00A30788" w:rsidP="00A30788">
      <w:pPr>
        <w:spacing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00" w:line="240" w:lineRule="auto"/>
        <w:jc w:val="center"/>
        <w:rPr>
          <w:rFonts w:ascii="Times New Roman" w:eastAsia="Times New Roman" w:hAnsi="Times New Roman" w:cs="Times New Roman"/>
          <w:b/>
          <w:bCs/>
          <w:color w:val="000000"/>
          <w:kern w:val="0"/>
          <w:sz w:val="24"/>
          <w:szCs w:val="24"/>
          <w:lang w:val="es-ES" w:eastAsia="es-ES"/>
        </w:rPr>
      </w:pPr>
    </w:p>
    <w:p w:rsidR="00A30788" w:rsidRPr="00A30788" w:rsidRDefault="00A30788" w:rsidP="00A30788">
      <w:pPr>
        <w:spacing w:before="240" w:after="20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APARTADO IX – ARTÍCULO 9°. PLANILLA ADJUNTA DE ACTIVIDAD 9 – CODIFICACIÓN NAES.</w:t>
      </w: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SERVICIOS INMOBILIARIOS, EMPRESARIALES Y DE ALQUILER</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tblCellMar>
          <w:top w:w="15" w:type="dxa"/>
          <w:left w:w="15" w:type="dxa"/>
          <w:bottom w:w="15" w:type="dxa"/>
          <w:right w:w="15" w:type="dxa"/>
        </w:tblCellMar>
        <w:tblLook w:val="04A0"/>
      </w:tblPr>
      <w:tblGrid>
        <w:gridCol w:w="975"/>
        <w:gridCol w:w="4549"/>
        <w:gridCol w:w="1789"/>
        <w:gridCol w:w="1645"/>
      </w:tblGrid>
      <w:tr w:rsidR="00A30788" w:rsidRPr="00A30788" w:rsidTr="00A30788">
        <w:trPr>
          <w:trHeight w:val="915"/>
          <w:tblHeader/>
        </w:trPr>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Código NAES</w:t>
            </w:r>
          </w:p>
        </w:tc>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Descripción NAES</w:t>
            </w:r>
          </w:p>
        </w:tc>
        <w:tc>
          <w:tcPr>
            <w:tcW w:w="0" w:type="auto"/>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Alícuota</w:t>
            </w:r>
          </w:p>
        </w:tc>
      </w:tr>
      <w:tr w:rsidR="00A30788" w:rsidRPr="00A30788" w:rsidTr="00A30788">
        <w:trPr>
          <w:trHeight w:val="990"/>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menor o igual a $2.005,0M</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mayor a $2.005,0M</w:t>
            </w:r>
          </w:p>
        </w:tc>
      </w:tr>
      <w:tr w:rsidR="00A30788" w:rsidRPr="00A30788" w:rsidTr="00A30788">
        <w:trPr>
          <w:trHeight w:val="127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530091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 de mensajerías puerta a puerta gestionados mediante plataforma de gestión electrónica, portales digitales y/o aplicaciones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530099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mensajerías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84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620101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Desarrollo y puesta a punto de productos de software</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5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620102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Desarrollo de productos de software específicos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620103</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Desarrollo de software elaborado para procesadores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7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620104</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consultores en informática y suministros de programas de informática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620200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consultores en equipo de informática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5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620300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consultores en tecnología de la </w:t>
            </w:r>
            <w:r w:rsidRPr="00A30788">
              <w:rPr>
                <w:rFonts w:ascii="Times New Roman" w:eastAsia="Times New Roman" w:hAnsi="Times New Roman" w:cs="Times New Roman"/>
                <w:color w:val="000000"/>
                <w:kern w:val="0"/>
                <w:sz w:val="24"/>
                <w:szCs w:val="24"/>
                <w:lang w:val="es-ES" w:eastAsia="es-ES"/>
              </w:rPr>
              <w:lastRenderedPageBreak/>
              <w:t>información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620900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informática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631111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 de validación criptográfica de datos y/o transacciones vinculadas a </w:t>
            </w:r>
            <w:proofErr w:type="spellStart"/>
            <w:r w:rsidRPr="00A30788">
              <w:rPr>
                <w:rFonts w:ascii="Times New Roman" w:eastAsia="Times New Roman" w:hAnsi="Times New Roman" w:cs="Times New Roman"/>
                <w:color w:val="000000"/>
                <w:kern w:val="0"/>
                <w:sz w:val="24"/>
                <w:szCs w:val="24"/>
                <w:lang w:val="es-ES" w:eastAsia="es-ES"/>
              </w:rPr>
              <w:t>criptoactivos</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631112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 de validación criptográfica de datos y/o transacciones, excepto las vinculadas a </w:t>
            </w:r>
            <w:proofErr w:type="spellStart"/>
            <w:r w:rsidRPr="00A30788">
              <w:rPr>
                <w:rFonts w:ascii="Times New Roman" w:eastAsia="Times New Roman" w:hAnsi="Times New Roman" w:cs="Times New Roman"/>
                <w:color w:val="000000"/>
                <w:kern w:val="0"/>
                <w:sz w:val="24"/>
                <w:szCs w:val="24"/>
                <w:lang w:val="es-ES" w:eastAsia="es-ES"/>
              </w:rPr>
              <w:t>criptoactivos</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631119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Procesamiento de datos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3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631190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Actividades conexas al procesamiento y hospedaje de datos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631201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Portales web por suscripción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631202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Portales web</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127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681010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alquiler y explotación de inmuebles para fiestas, convenciones y otros eventos similares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681020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alquiler de consultorios médicos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681098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inmobiliarios realizados por cuenta propia, con bienes urbanos propios o arrendados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681099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inmobiliarios realizados por cuenta propia, con bienes rurales propios o arrendados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682010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administración de consorcios de edificios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6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682091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prestados por inmobiliarias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682099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inmobiliarios realizados a cambio de una retribución o por contrata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691001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jurídicos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691002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notariales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692000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contabilidad, auditoría y asesoría fiscal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127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702010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gerenciamiento de empresas e instituciones de salud; servicios de auditoría y medicina legal; servicio de asesoramiento farmacéutico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156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702091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asesoramiento, dirección y gestión empresarial realizados por integrantes de los órganos de administración y/o fiscalización en sociedades anónimas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141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702092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asesoramiento, dirección y gestión empresarial realizados por integrantes de cuerpos de dirección en sociedades excepto las anónimas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84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702099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asesoramiento, dirección y gestión empresarial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711003</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relacionados con la electrónica y las comunicaciones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105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711009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arquitectura e ingeniería y servicios conexos de asesoramiento técnico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712000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Ensayos y análisis técnicos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721010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Investigación y desarrollo experimental en el campo de la ingeniería y la tecnología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87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721020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Investigación y desarrollo experimental en el campo de las ciencias médicas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721030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Investigación y desarrollo experimental en el campo de las ciencias agropecuarias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105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721090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Investigación y desarrollo experimental en el campo de las ciencias exactas y naturales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722010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Investigación y desarrollo experimental en el campo de las ciencias sociales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87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722020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Investigación y desarrollo experimental en el campo de las ciencias humanas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85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732000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Estudio de mercado, realización de encuestas de opinión pública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741000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diseño especializado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742000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fotografía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3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749001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traducción e interpretación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749002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representación e intermediación de artistas y modelos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749003</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representación e intermediación de deportistas profesionales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749009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Actividades profesionales, científicas y técnicas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58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771110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automóviles sin conductor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81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771190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Alquiler de vehículos automotores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sin conductor ni operarios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4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771210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equipo de transporte para vía acuática, sin operarios ni tripulación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81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771220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equipo de transporte para vía aérea, sin operarios ni tripulación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771290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Alquiler de equipo de transporte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xml:space="preserve"> sin conductor ni operarios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772010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videos y video juegos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772091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prendas de vestir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772099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Alquiler de efectos personales y enseres domésticos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773010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maquinaria y equipo agropecuario y forestal, sin operarios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10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773020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maquinaria y equipo para la minería, sin operarios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103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773030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maquinaria y equipo de construcción e ingeniería civil, sin operarios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3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773040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Alquiler de maquinaria y equipo de oficina, incluso computadoras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773090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Alquiler de maquinaria y equipo </w:t>
            </w:r>
            <w:proofErr w:type="spellStart"/>
            <w:r w:rsidRPr="00A30788">
              <w:rPr>
                <w:rFonts w:ascii="Times New Roman" w:eastAsia="Times New Roman" w:hAnsi="Times New Roman" w:cs="Times New Roman"/>
                <w:color w:val="000000"/>
                <w:kern w:val="0"/>
                <w:sz w:val="24"/>
                <w:szCs w:val="24"/>
                <w:lang w:val="es-ES" w:eastAsia="es-ES"/>
              </w:rPr>
              <w:t>n.c.p.</w:t>
            </w:r>
            <w:proofErr w:type="spellEnd"/>
            <w:r w:rsidRPr="00A30788">
              <w:rPr>
                <w:rFonts w:ascii="Times New Roman" w:eastAsia="Times New Roman" w:hAnsi="Times New Roman" w:cs="Times New Roman"/>
                <w:color w:val="000000"/>
                <w:kern w:val="0"/>
                <w:sz w:val="24"/>
                <w:szCs w:val="24"/>
                <w:lang w:val="es-ES" w:eastAsia="es-ES"/>
              </w:rPr>
              <w:t>, sin personal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82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774000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Arrendamiento y gestión de bienes intangibles no financieros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780009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Obtención y dotación de personal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791101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minoristas de agencias de viajes excepto en comisión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791201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mayoristas de agencias de viajes excepto en comisión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3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791901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turismo aventura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791909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complementarios de apoyo turístico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801010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transporte de caudales y objetos de valor</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6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801020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sistemas de seguridad</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801090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seguridad e investigación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811000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 combinado de apoyo a edificios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5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812010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limpieza general de edificios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812020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desinfección y exterminio de plagas en el ámbito urbano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812091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limpieza de medios de transporte excepto automóviles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812099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limpieza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813000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jardinería y mantenimiento de espacios verdes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821100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combinados de gestión administrativa de oficinas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821900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fotocopiado, preparación de documentos y otros servicios de apoyo de oficina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823000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organización de convenciones y exposiciones comerciales, excepto culturales y deportivos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829100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agencias de cobro y calificación crediticia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829200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envase y empaque</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829901</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recarga de saldo o crédito para consumo de bienes o servicios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9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829909</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empresariales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bl>
    <w:p w:rsidR="00A30788" w:rsidRDefault="00A30788" w:rsidP="00A30788">
      <w:pPr>
        <w:spacing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p>
    <w:p w:rsidR="00A30788" w:rsidRPr="00A30788" w:rsidRDefault="00A30788" w:rsidP="00A30788">
      <w:pPr>
        <w:spacing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APARTADO X – ARTÍCULO 10. PLANILLA ADJUNTA DE ACTIVIDAD 10 – CODIFICACIÓN NAES.</w:t>
      </w:r>
    </w:p>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 </w:t>
      </w:r>
      <w:r w:rsidRPr="00A30788">
        <w:rPr>
          <w:rFonts w:ascii="Times New Roman" w:eastAsia="Times New Roman" w:hAnsi="Times New Roman" w:cs="Times New Roman"/>
          <w:b/>
          <w:bCs/>
          <w:color w:val="000000"/>
          <w:kern w:val="0"/>
          <w:sz w:val="24"/>
          <w:szCs w:val="24"/>
          <w:lang w:val="es-ES" w:eastAsia="es-ES"/>
        </w:rPr>
        <w:tab/>
      </w:r>
      <w:r w:rsidRPr="00A30788">
        <w:rPr>
          <w:rFonts w:ascii="Times New Roman" w:eastAsia="Times New Roman" w:hAnsi="Times New Roman" w:cs="Times New Roman"/>
          <w:b/>
          <w:bCs/>
          <w:color w:val="000000"/>
          <w:kern w:val="0"/>
          <w:sz w:val="24"/>
          <w:szCs w:val="24"/>
          <w:lang w:val="es-ES" w:eastAsia="es-ES"/>
        </w:rPr>
        <w:tab/>
      </w:r>
      <w:r w:rsidRPr="00A30788">
        <w:rPr>
          <w:rFonts w:ascii="Times New Roman" w:eastAsia="Times New Roman" w:hAnsi="Times New Roman" w:cs="Times New Roman"/>
          <w:b/>
          <w:bCs/>
          <w:color w:val="000000"/>
          <w:kern w:val="0"/>
          <w:sz w:val="24"/>
          <w:szCs w:val="24"/>
          <w:lang w:val="es-ES" w:eastAsia="es-ES"/>
        </w:rPr>
        <w:tab/>
        <w:t>SERVICIOS SOCIALES Y DE SALUD</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tblCellMar>
          <w:top w:w="15" w:type="dxa"/>
          <w:left w:w="15" w:type="dxa"/>
          <w:bottom w:w="15" w:type="dxa"/>
          <w:right w:w="15" w:type="dxa"/>
        </w:tblCellMar>
        <w:tblLook w:val="04A0"/>
      </w:tblPr>
      <w:tblGrid>
        <w:gridCol w:w="1052"/>
        <w:gridCol w:w="3939"/>
        <w:gridCol w:w="2097"/>
        <w:gridCol w:w="1870"/>
      </w:tblGrid>
      <w:tr w:rsidR="00A30788" w:rsidRPr="00A30788" w:rsidTr="00A30788">
        <w:trPr>
          <w:trHeight w:val="915"/>
          <w:tblHeader/>
        </w:trPr>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Código NAES</w:t>
            </w:r>
          </w:p>
        </w:tc>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Descripción NAES</w:t>
            </w:r>
          </w:p>
        </w:tc>
        <w:tc>
          <w:tcPr>
            <w:tcW w:w="0" w:type="auto"/>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Alícuota</w:t>
            </w:r>
          </w:p>
        </w:tc>
      </w:tr>
      <w:tr w:rsidR="00A30788" w:rsidRPr="00A30788" w:rsidTr="00A30788">
        <w:trPr>
          <w:trHeight w:val="990"/>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menor o igual a $2.005,0M</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mayor a $2.005,0M</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750000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veterinarios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w:t>
            </w:r>
          </w:p>
        </w:tc>
      </w:tr>
      <w:tr w:rsidR="00A30788" w:rsidRPr="00A30788" w:rsidTr="00A30788">
        <w:trPr>
          <w:trHeight w:val="99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870100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atención a personas con problemas de salud mental o de adicciones, con alojamiento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870220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atención a personas minusválidas con alojamiento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w:t>
            </w:r>
          </w:p>
        </w:tc>
      </w:tr>
      <w:tr w:rsidR="00A30788" w:rsidRPr="00A30788" w:rsidTr="00A30788">
        <w:trPr>
          <w:trHeight w:val="97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870910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atención a niños y adolescentes carenciados con alojamiento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w:t>
            </w:r>
          </w:p>
        </w:tc>
      </w:tr>
      <w:tr w:rsidR="00A30788" w:rsidRPr="00A30788" w:rsidTr="00A30788">
        <w:trPr>
          <w:trHeight w:val="82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870920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atención a mujeres con alojamiento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870990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sociales con alojamiento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w:t>
            </w:r>
          </w:p>
        </w:tc>
      </w:tr>
      <w:tr w:rsidR="00A30788" w:rsidRPr="00A30788" w:rsidTr="00A30788">
        <w:trPr>
          <w:trHeight w:val="61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880000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sociales sin alojamiento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4,75%</w:t>
            </w:r>
          </w:p>
        </w:tc>
      </w:tr>
    </w:tbl>
    <w:p w:rsidR="00A30788" w:rsidRPr="00A30788" w:rsidRDefault="00A30788" w:rsidP="00A30788">
      <w:pPr>
        <w:spacing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r w:rsidRPr="00A30788">
        <w:rPr>
          <w:rFonts w:ascii="Times New Roman" w:eastAsia="Times New Roman" w:hAnsi="Times New Roman" w:cs="Times New Roman"/>
          <w:kern w:val="0"/>
          <w:sz w:val="24"/>
          <w:szCs w:val="24"/>
          <w:lang w:val="es-ES" w:eastAsia="es-ES"/>
        </w:rPr>
        <w:br/>
      </w: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Default="00A30788"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B64319" w:rsidRDefault="00B64319" w:rsidP="00A30788">
      <w:pPr>
        <w:spacing w:before="240" w:after="240" w:line="240" w:lineRule="auto"/>
        <w:jc w:val="center"/>
        <w:rPr>
          <w:rFonts w:ascii="Times New Roman" w:eastAsia="Times New Roman" w:hAnsi="Times New Roman" w:cs="Times New Roman"/>
          <w:b/>
          <w:bCs/>
          <w:color w:val="000000"/>
          <w:kern w:val="0"/>
          <w:sz w:val="24"/>
          <w:szCs w:val="24"/>
          <w:lang w:val="es-ES" w:eastAsia="es-ES"/>
        </w:rPr>
      </w:pP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APARTADO XI – ARTÍCULO 11. PLANILLA ADJUNTA DE ACTIVIDAD 11 – CODIFICACIÓN NAES</w:t>
      </w: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SERVICIOS COMUNITARIOS, SOCIALES Y PERSONALES N.C.P; ENSEÑANZA; ADMINISTRACIÓN PÚBLICA; DEFENSA Y SEGURIDAD</w:t>
      </w:r>
    </w:p>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b/>
          <w:bCs/>
          <w:color w:val="000000"/>
          <w:kern w:val="0"/>
          <w:sz w:val="24"/>
          <w:szCs w:val="24"/>
          <w:lang w:val="es-ES" w:eastAsia="es-ES"/>
        </w:rPr>
        <w:t>SOCIAL OBLIGATORIA</w:t>
      </w:r>
    </w:p>
    <w:p w:rsidR="00A30788" w:rsidRPr="00A30788" w:rsidRDefault="00A30788" w:rsidP="00A30788">
      <w:pPr>
        <w:spacing w:after="0" w:line="240" w:lineRule="auto"/>
        <w:rPr>
          <w:rFonts w:ascii="Times New Roman" w:eastAsia="Times New Roman" w:hAnsi="Times New Roman" w:cs="Times New Roman"/>
          <w:kern w:val="0"/>
          <w:sz w:val="24"/>
          <w:szCs w:val="24"/>
          <w:lang w:val="es-ES" w:eastAsia="es-ES"/>
        </w:rPr>
      </w:pPr>
    </w:p>
    <w:tbl>
      <w:tblPr>
        <w:tblW w:w="0" w:type="auto"/>
        <w:tblCellMar>
          <w:top w:w="15" w:type="dxa"/>
          <w:left w:w="15" w:type="dxa"/>
          <w:bottom w:w="15" w:type="dxa"/>
          <w:right w:w="15" w:type="dxa"/>
        </w:tblCellMar>
        <w:tblLook w:val="04A0"/>
      </w:tblPr>
      <w:tblGrid>
        <w:gridCol w:w="1043"/>
        <w:gridCol w:w="4014"/>
        <w:gridCol w:w="2059"/>
        <w:gridCol w:w="1842"/>
      </w:tblGrid>
      <w:tr w:rsidR="00A30788" w:rsidRPr="00A30788" w:rsidTr="00A30788">
        <w:trPr>
          <w:trHeight w:val="420"/>
          <w:tblHeader/>
        </w:trPr>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Código NAES</w:t>
            </w:r>
          </w:p>
        </w:tc>
        <w:tc>
          <w:tcPr>
            <w:tcW w:w="0" w:type="auto"/>
            <w:vMerge w:val="restar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Descripción NAES</w:t>
            </w:r>
          </w:p>
        </w:tc>
        <w:tc>
          <w:tcPr>
            <w:tcW w:w="0" w:type="auto"/>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Alícuota</w:t>
            </w:r>
          </w:p>
        </w:tc>
      </w:tr>
      <w:tr w:rsidR="00A30788" w:rsidRPr="00A30788" w:rsidTr="00A30788">
        <w:trPr>
          <w:trHeight w:val="1566"/>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0788" w:rsidRPr="00A30788" w:rsidRDefault="00A30788" w:rsidP="00A30788">
            <w:pPr>
              <w:spacing w:after="0" w:line="240" w:lineRule="auto"/>
              <w:rPr>
                <w:rFonts w:ascii="Times New Roman" w:eastAsia="Times New Roman" w:hAnsi="Times New Roman" w:cs="Times New Roman"/>
                <w:b/>
                <w:bCs/>
                <w:kern w:val="0"/>
                <w:sz w:val="24"/>
                <w:szCs w:val="24"/>
                <w:lang w:val="es-ES" w:eastAsia="es-ES"/>
              </w:rPr>
            </w:pP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menor o igual a $2.005,0M</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b/>
                <w:bCs/>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Facturación mayor a $2.005,0M</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381100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Recolección, transporte, tratamiento y disposición final de residuos no peligrosos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381200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Recolección, transporte, tratamiento y disposición final de residuos peligrosos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390000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Descontaminación y otros servicios de gestión de residuos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591110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Producción de filmes y videocintas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591120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Postproducción de filmes y videocintas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591200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Distribución de filmes y videocintas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591300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Exhibición de filmes y videocintas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602320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Producción de programas de televisión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639100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Agencias de noticias.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639900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información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841900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auxiliares para los servicios generales de la Administración Pública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851020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inicial, jardín de infantes y primaria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852100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secundaria de formación general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852200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Enseñanza secundaria de formación </w:t>
            </w:r>
            <w:r w:rsidRPr="00A30788">
              <w:rPr>
                <w:rFonts w:ascii="Times New Roman" w:eastAsia="Times New Roman" w:hAnsi="Times New Roman" w:cs="Times New Roman"/>
                <w:color w:val="000000"/>
                <w:kern w:val="0"/>
                <w:sz w:val="24"/>
                <w:szCs w:val="24"/>
                <w:lang w:val="es-ES" w:eastAsia="es-ES"/>
              </w:rPr>
              <w:lastRenderedPageBreak/>
              <w:t>técnica y profesional</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853100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terciaria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853201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universitaria excepto formación de posgrado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853300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Formación de posgrado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854910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de idiomas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854920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de cursos relacionados con informática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854930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para adultos, excepto discapacitados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854940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especial y para discapacitados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854950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de gimnasia, deportes y actividades físicas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854960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Enseñanza artística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854990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enseñanza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55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855000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apoyo a la educación</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900011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Producción de espectáculos teatrales y musicales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900021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Composición y representación de obras teatrales, musicales y artísticas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900030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conexos a la producción de espectáculos teatrales y musicales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900040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agencias de ventas de entradas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900091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espectáculos artísticos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910100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bibliotecas y archivos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910200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museos y preservación de lugares y edificios históricos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910300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jardines botánicos, zoológicos y de parques nacionales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910900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culturales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931010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organización, dirección y gestión de prácticas deportivas en clubes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931020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Explotación de instalaciones deportivas, excepto clubes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931030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Promoción y producción de espectáculos deportivos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931041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prestados por deportistas y atletas para la realización de prácticas deportivas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931042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prestados por profesionales y técnicos para la realización de prácticas deportivas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931050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acondicionamiento físico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931090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para la práctica deportiva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939010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parques de diversiones y parques temáticos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939020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salones de juegos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939030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salones de baile, discotecas y similares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939090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entretenimiento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941100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organizaciones empresariales y de empleadores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941200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organizaciones profesionales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942000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sindicatos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949910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mutuales, excepto mutuales de salud y financieras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949920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consorcios de edificios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949930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cooperativas cuando realizan varias actividades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949990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de asociaciones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960101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limpieza de prendas prestado por tintorerías rápidas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lastRenderedPageBreak/>
              <w:t>960102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Lavado y limpieza de artículos de tela, cuero y/o de piel, incluso la limpieza en seco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960201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peluquería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960202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tratamiento de belleza, excepto los de peluquería</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960300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Pompas fúnebres y servicios conexos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960910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centros de estética, spa y similares</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960990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 xml:space="preserve">Servicios personales </w:t>
            </w:r>
            <w:proofErr w:type="spellStart"/>
            <w:r w:rsidRPr="00A30788">
              <w:rPr>
                <w:rFonts w:ascii="Times New Roman" w:eastAsia="Times New Roman" w:hAnsi="Times New Roman" w:cs="Times New Roman"/>
                <w:color w:val="000000"/>
                <w:kern w:val="0"/>
                <w:sz w:val="24"/>
                <w:szCs w:val="24"/>
                <w:lang w:val="es-ES" w:eastAsia="es-ES"/>
              </w:rPr>
              <w:t>n.c.p.</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r w:rsidR="00A30788" w:rsidRPr="00A30788" w:rsidTr="00A30788">
        <w:trPr>
          <w:trHeight w:val="7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jc w:val="center"/>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970000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hideMark/>
          </w:tcPr>
          <w:p w:rsidR="00A30788" w:rsidRPr="00A30788" w:rsidRDefault="00A30788" w:rsidP="00A30788">
            <w:pPr>
              <w:spacing w:before="240" w:after="240" w:line="240" w:lineRule="auto"/>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Servicios de hogares privados que contratan servicio doméstico</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3,00%</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rsidR="00A30788" w:rsidRPr="00A30788" w:rsidRDefault="00A30788" w:rsidP="00A30788">
            <w:pPr>
              <w:spacing w:before="240" w:after="240" w:line="240" w:lineRule="auto"/>
              <w:jc w:val="right"/>
              <w:rPr>
                <w:rFonts w:ascii="Times New Roman" w:eastAsia="Times New Roman" w:hAnsi="Times New Roman" w:cs="Times New Roman"/>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5,00%</w:t>
            </w:r>
          </w:p>
        </w:tc>
      </w:tr>
    </w:tbl>
    <w:p w:rsidR="00AF6364" w:rsidRDefault="00AF6364">
      <w:pPr>
        <w:rPr>
          <w:rFonts w:ascii="Times New Roman" w:hAnsi="Times New Roman" w:cs="Times New Roman"/>
        </w:rPr>
      </w:pPr>
    </w:p>
    <w:p w:rsidR="004206D8" w:rsidRDefault="004206D8">
      <w:pPr>
        <w:rPr>
          <w:rFonts w:ascii="Times New Roman" w:hAnsi="Times New Roman" w:cs="Times New Roman"/>
        </w:rPr>
      </w:pPr>
    </w:p>
    <w:p w:rsidR="004206D8" w:rsidRDefault="004206D8" w:rsidP="004206D8">
      <w:pPr>
        <w:spacing w:before="220" w:after="0" w:line="240" w:lineRule="auto"/>
        <w:jc w:val="both"/>
        <w:rPr>
          <w:rFonts w:ascii="Times New Roman" w:eastAsia="Times New Roman" w:hAnsi="Times New Roman" w:cs="Times New Roman"/>
          <w:color w:val="000000"/>
          <w:kern w:val="0"/>
          <w:sz w:val="24"/>
          <w:szCs w:val="24"/>
          <w:lang w:val="es-ES" w:eastAsia="es-ES"/>
        </w:rPr>
      </w:pPr>
      <w:r w:rsidRPr="00A30788">
        <w:rPr>
          <w:rFonts w:ascii="Times New Roman" w:eastAsia="Times New Roman" w:hAnsi="Times New Roman" w:cs="Times New Roman"/>
          <w:color w:val="000000"/>
          <w:kern w:val="0"/>
          <w:sz w:val="24"/>
          <w:szCs w:val="24"/>
          <w:lang w:val="es-ES" w:eastAsia="es-ES"/>
        </w:rPr>
        <w:t>KIENAST, Marina</w:t>
      </w:r>
      <w:r>
        <w:rPr>
          <w:rFonts w:ascii="Times New Roman" w:eastAsia="Times New Roman" w:hAnsi="Times New Roman" w:cs="Times New Roman"/>
          <w:color w:val="000000"/>
          <w:kern w:val="0"/>
          <w:sz w:val="24"/>
          <w:szCs w:val="24"/>
          <w:lang w:val="es-ES" w:eastAsia="es-ES"/>
        </w:rPr>
        <w:t xml:space="preserve">; </w:t>
      </w:r>
      <w:r w:rsidRPr="00A30788">
        <w:rPr>
          <w:rFonts w:ascii="Times New Roman" w:eastAsia="Times New Roman" w:hAnsi="Times New Roman" w:cs="Times New Roman"/>
          <w:color w:val="000000"/>
          <w:kern w:val="0"/>
          <w:sz w:val="24"/>
          <w:szCs w:val="24"/>
          <w:lang w:val="es-ES" w:eastAsia="es-ES"/>
        </w:rPr>
        <w:t>MONTENEGRO, Lucia</w:t>
      </w:r>
      <w:r>
        <w:rPr>
          <w:rFonts w:ascii="Times New Roman" w:eastAsia="Times New Roman" w:hAnsi="Times New Roman" w:cs="Times New Roman"/>
          <w:color w:val="000000"/>
          <w:kern w:val="0"/>
          <w:sz w:val="24"/>
          <w:szCs w:val="24"/>
          <w:lang w:val="es-ES" w:eastAsia="es-ES"/>
        </w:rPr>
        <w:t xml:space="preserve">; </w:t>
      </w:r>
      <w:r w:rsidRPr="00A30788">
        <w:rPr>
          <w:rFonts w:ascii="Times New Roman" w:eastAsia="Times New Roman" w:hAnsi="Times New Roman" w:cs="Times New Roman"/>
          <w:color w:val="000000"/>
          <w:kern w:val="0"/>
          <w:sz w:val="24"/>
          <w:szCs w:val="24"/>
          <w:lang w:val="es-ES" w:eastAsia="es-ES"/>
        </w:rPr>
        <w:t>SAIFERT, Leonardo</w:t>
      </w:r>
      <w:r>
        <w:rPr>
          <w:rFonts w:ascii="Times New Roman" w:eastAsia="Times New Roman" w:hAnsi="Times New Roman" w:cs="Times New Roman"/>
          <w:color w:val="000000"/>
          <w:kern w:val="0"/>
          <w:sz w:val="24"/>
          <w:szCs w:val="24"/>
          <w:lang w:val="es-ES" w:eastAsia="es-ES"/>
        </w:rPr>
        <w:t xml:space="preserve">; </w:t>
      </w:r>
      <w:r w:rsidRPr="00A30788">
        <w:rPr>
          <w:rFonts w:ascii="Times New Roman" w:eastAsia="Times New Roman" w:hAnsi="Times New Roman" w:cs="Times New Roman"/>
          <w:color w:val="000000"/>
          <w:kern w:val="0"/>
          <w:sz w:val="24"/>
          <w:szCs w:val="24"/>
          <w:lang w:val="es-ES" w:eastAsia="es-ES"/>
        </w:rPr>
        <w:t>IMAS, Silvia.</w:t>
      </w:r>
    </w:p>
    <w:p w:rsidR="004206D8" w:rsidRPr="004F14B4" w:rsidRDefault="004206D8">
      <w:pPr>
        <w:rPr>
          <w:rFonts w:ascii="Times New Roman" w:hAnsi="Times New Roman" w:cs="Times New Roman"/>
        </w:rPr>
      </w:pPr>
    </w:p>
    <w:sectPr w:rsidR="004206D8" w:rsidRPr="004F14B4" w:rsidSect="00C60B5C">
      <w:pgSz w:w="12240" w:h="20160" w:code="5"/>
      <w:pgMar w:top="1418"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D8E" w:rsidRDefault="00130D8E" w:rsidP="00AF6364">
      <w:pPr>
        <w:spacing w:after="0" w:line="240" w:lineRule="auto"/>
      </w:pPr>
      <w:r>
        <w:separator/>
      </w:r>
    </w:p>
  </w:endnote>
  <w:endnote w:type="continuationSeparator" w:id="0">
    <w:p w:rsidR="00130D8E" w:rsidRDefault="00130D8E"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D8E" w:rsidRDefault="00130D8E" w:rsidP="00AF6364">
      <w:pPr>
        <w:spacing w:after="0" w:line="240" w:lineRule="auto"/>
      </w:pPr>
      <w:r>
        <w:separator/>
      </w:r>
    </w:p>
  </w:footnote>
  <w:footnote w:type="continuationSeparator" w:id="0">
    <w:p w:rsidR="00130D8E" w:rsidRDefault="00130D8E" w:rsidP="00AF63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EE1E69"/>
    <w:rsid w:val="000655E9"/>
    <w:rsid w:val="000F6A97"/>
    <w:rsid w:val="00130D8E"/>
    <w:rsid w:val="002B0876"/>
    <w:rsid w:val="003561D0"/>
    <w:rsid w:val="00364387"/>
    <w:rsid w:val="003931FC"/>
    <w:rsid w:val="003F5016"/>
    <w:rsid w:val="004206D8"/>
    <w:rsid w:val="00425C91"/>
    <w:rsid w:val="0047205C"/>
    <w:rsid w:val="004A51C5"/>
    <w:rsid w:val="004F14B4"/>
    <w:rsid w:val="00597CD1"/>
    <w:rsid w:val="00646C3C"/>
    <w:rsid w:val="006D1BAF"/>
    <w:rsid w:val="006E4861"/>
    <w:rsid w:val="0072782F"/>
    <w:rsid w:val="00746F04"/>
    <w:rsid w:val="00785CAD"/>
    <w:rsid w:val="00796DAA"/>
    <w:rsid w:val="00813615"/>
    <w:rsid w:val="0081386C"/>
    <w:rsid w:val="00887FEC"/>
    <w:rsid w:val="009A4135"/>
    <w:rsid w:val="009A7033"/>
    <w:rsid w:val="00A30788"/>
    <w:rsid w:val="00AF3B91"/>
    <w:rsid w:val="00AF6364"/>
    <w:rsid w:val="00B64319"/>
    <w:rsid w:val="00C60B5C"/>
    <w:rsid w:val="00C91AC9"/>
    <w:rsid w:val="00CA16B7"/>
    <w:rsid w:val="00CA30FD"/>
    <w:rsid w:val="00D5427C"/>
    <w:rsid w:val="00DA6887"/>
    <w:rsid w:val="00E44D29"/>
    <w:rsid w:val="00E82E69"/>
    <w:rsid w:val="00EE1E69"/>
    <w:rsid w:val="00F47A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0FD"/>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styleId="NormalWeb">
    <w:name w:val="Normal (Web)"/>
    <w:basedOn w:val="Normal"/>
    <w:uiPriority w:val="99"/>
    <w:unhideWhenUsed/>
    <w:rsid w:val="00A30788"/>
    <w:pPr>
      <w:spacing w:before="100" w:beforeAutospacing="1" w:after="100" w:afterAutospacing="1" w:line="240" w:lineRule="auto"/>
    </w:pPr>
    <w:rPr>
      <w:rFonts w:ascii="Times New Roman" w:eastAsia="Times New Roman" w:hAnsi="Times New Roman" w:cs="Times New Roman"/>
      <w:kern w:val="0"/>
      <w:sz w:val="24"/>
      <w:szCs w:val="24"/>
      <w:lang w:val="es-ES" w:eastAsia="es-ES"/>
    </w:rPr>
  </w:style>
  <w:style w:type="character" w:customStyle="1" w:styleId="apple-tab-span">
    <w:name w:val="apple-tab-span"/>
    <w:basedOn w:val="Fuentedeprrafopredeter"/>
    <w:rsid w:val="00A30788"/>
  </w:style>
  <w:style w:type="paragraph" w:styleId="Textodeglobo">
    <w:name w:val="Balloon Text"/>
    <w:basedOn w:val="Normal"/>
    <w:link w:val="TextodegloboCar"/>
    <w:uiPriority w:val="99"/>
    <w:semiHidden/>
    <w:unhideWhenUsed/>
    <w:rsid w:val="009A70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0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676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weiss\Downloads\3caafb4b-8b46-4eed-92fb-f364676a4d6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3caafb4b-8b46-4eed-92fb-f364676a4d66.dotx</Template>
  <TotalTime>2</TotalTime>
  <Pages>45</Pages>
  <Words>9138</Words>
  <Characters>50260</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Paz Weiss Reynoso</dc:creator>
  <cp:lastModifiedBy>luantonelli</cp:lastModifiedBy>
  <cp:revision>3</cp:revision>
  <cp:lastPrinted>2025-11-26T15:07:00Z</cp:lastPrinted>
  <dcterms:created xsi:type="dcterms:W3CDTF">2025-11-26T15:41:00Z</dcterms:created>
  <dcterms:modified xsi:type="dcterms:W3CDTF">2025-11-26T16:01:00Z</dcterms:modified>
</cp:coreProperties>
</file>