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CCA" w:rsidRDefault="00164CCA" w:rsidP="00164CCA">
      <w:pPr>
        <w:pStyle w:val="normal0"/>
        <w:spacing w:before="240" w:after="0" w:line="240" w:lineRule="auto"/>
        <w:jc w:val="center"/>
        <w:rPr>
          <w:rFonts w:ascii="Times New Roman" w:eastAsia="Times New Roman" w:hAnsi="Times New Roman" w:cs="Times New Roman"/>
          <w:b/>
          <w:bCs/>
          <w:sz w:val="24"/>
          <w:szCs w:val="24"/>
          <w:u w:val="single"/>
        </w:rPr>
      </w:pPr>
    </w:p>
    <w:p w:rsidR="00164CCA" w:rsidRDefault="00164CCA" w:rsidP="00164CCA">
      <w:pPr>
        <w:pStyle w:val="normal0"/>
        <w:spacing w:before="240" w:after="0" w:line="240" w:lineRule="auto"/>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OBSERVACIONES AL DESPACHO N° 743-25:</w:t>
      </w:r>
    </w:p>
    <w:p w:rsidR="00164CCA" w:rsidRDefault="00164CCA" w:rsidP="00164CCA">
      <w:pPr>
        <w:pStyle w:val="normal0"/>
        <w:spacing w:before="240"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“PRESUPUESTO GRAL. DE GASTOS Y CÁLCULO DE RECURSOS DE LA ADMINISTRACIÓN DEL G.C.A.B.A. PARA EL EJERCICIO FISCAL 2026”</w:t>
      </w:r>
    </w:p>
    <w:p w:rsidR="00164CCA" w:rsidRDefault="00164CCA" w:rsidP="00164CCA">
      <w:pPr>
        <w:pStyle w:val="normal0"/>
        <w:rPr>
          <w:rFonts w:ascii="Times New Roman" w:eastAsia="Times New Roman" w:hAnsi="Times New Roman" w:cs="Times New Roman"/>
        </w:rPr>
      </w:pPr>
    </w:p>
    <w:p w:rsidR="00164CCA" w:rsidRDefault="00164CCA" w:rsidP="00164CCA">
      <w:pPr>
        <w:pStyle w:val="normal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Que conforme a lo previsto en el artículo 169 del Reglamento de la Legislatura de la Ciudad de Buenos Aires, venimos a plantear observaciones al </w:t>
      </w:r>
      <w:r>
        <w:rPr>
          <w:rFonts w:ascii="Times New Roman" w:eastAsia="Times New Roman" w:hAnsi="Times New Roman" w:cs="Times New Roman"/>
          <w:b/>
          <w:bCs/>
          <w:sz w:val="24"/>
          <w:szCs w:val="24"/>
        </w:rPr>
        <w:t xml:space="preserve">Despacho N° </w:t>
      </w:r>
      <w:r>
        <w:rPr>
          <w:rFonts w:ascii="Times New Roman" w:eastAsia="Times New Roman" w:hAnsi="Times New Roman" w:cs="Times New Roman"/>
          <w:b/>
          <w:bCs/>
          <w:sz w:val="26"/>
          <w:szCs w:val="26"/>
        </w:rPr>
        <w:t>0743-25</w:t>
      </w:r>
      <w:r>
        <w:rPr>
          <w:rFonts w:ascii="Times New Roman" w:eastAsia="Times New Roman" w:hAnsi="Times New Roman" w:cs="Times New Roman"/>
          <w:sz w:val="24"/>
          <w:szCs w:val="24"/>
        </w:rPr>
        <w:t>, conforme a las consideraciones que seguidamente pasan a efectuarse:</w:t>
      </w:r>
    </w:p>
    <w:p w:rsidR="00164CCA" w:rsidRDefault="00164CCA" w:rsidP="00164CCA">
      <w:pPr>
        <w:pStyle w:val="normal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Que el proyecto de Ley de Presupuesto 2026 fija un total de gastos corrientes y de capital de $17.341.466.875.159 y estima recursos por $17.347.360.362.353, configurando un resultado financiero positivo. Que, de acuerdo con el mensaje y los informes complementarios, dicho presupuesto implica un incremento nominal de aproximadamente el 27,5% tanto en el cálculo de recursos como en el total de gastos respecto del ejercicio 2025.</w:t>
      </w:r>
    </w:p>
    <w:p w:rsidR="00164CCA" w:rsidRDefault="00164CCA" w:rsidP="00164CCA">
      <w:pPr>
        <w:pStyle w:val="normal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aumento se proyectó sobre la base de un escenario macroeconómico elaborado en septiembre, que preveía para 2026 una inflación en el orden del 20–25%, mientras que el último Relevamiento de Expectativas de Mercado (REM) y las proyecciones oficiales posteriores a las elecciones revisaron significativamente a la baja dichas estimaciones, ubicando la inflación para 2026 en torno al 18,7% interanual. En ese contexto, un crecimiento de recursos y gastos del 27,5% implica un aumento real del tamaño del Estado y de la presión impositiva sobre los contribuyentes, más allá de la actualización de los precios.</w:t>
      </w:r>
    </w:p>
    <w:p w:rsidR="00164CCA" w:rsidRDefault="00164CCA" w:rsidP="00164CCA">
      <w:pPr>
        <w:pStyle w:val="normal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mencionado incremento de los recursos no surge sólo de la evolución natural de la economía, sino también de un paquete de medidas tributarias contenidas en la Ley Impositiva, la Ley Arancelaria y las modificaciones al Código Fiscal, que incorporan nuevas bases imponibles, nuevas actividades alcanzadas y actualizaciones de umbrales por debajo de la inflación (por ejemplo, en Ingresos Brutos, donde los tramos de facturación se actualizan apenas un 10,1%). De esta forma, el superávit proyectado para 2026 descansa en buena medida en una mayor carga fiscal sobre </w:t>
      </w:r>
      <w:proofErr w:type="spellStart"/>
      <w:r>
        <w:rPr>
          <w:rFonts w:ascii="Times New Roman" w:eastAsia="Times New Roman" w:hAnsi="Times New Roman" w:cs="Times New Roman"/>
          <w:sz w:val="24"/>
          <w:szCs w:val="24"/>
        </w:rPr>
        <w:t>PyMEs</w:t>
      </w:r>
      <w:proofErr w:type="spellEnd"/>
      <w:r>
        <w:rPr>
          <w:rFonts w:ascii="Times New Roman" w:eastAsia="Times New Roman" w:hAnsi="Times New Roman" w:cs="Times New Roman"/>
          <w:sz w:val="24"/>
          <w:szCs w:val="24"/>
        </w:rPr>
        <w:t>, comerciantes y contribuyentes que sólo ajustan sus precios para no perder contra la inflación, y no en una reducción consistente del gasto público.</w:t>
      </w:r>
    </w:p>
    <w:p w:rsidR="00164CCA" w:rsidRDefault="00164CCA" w:rsidP="00164CCA">
      <w:pPr>
        <w:pStyle w:val="normal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ese sentido, nuestro bloque comparte la importancia de preservar el equilibrio de las cuentas públicas y valora positivamente la meta de resultado superavitario para el ejercicio 2026; sin embargo, entendemos que dicho equilibrio debe lograrse prioritariamente por el lado del gasto, reduciendo estructuras, programas y erogaciones políticas innecesarias, y no mediante un aumento simultáneo de impuestos y de erogaciones reales.</w:t>
      </w:r>
    </w:p>
    <w:p w:rsidR="00164CCA" w:rsidRDefault="00164CCA" w:rsidP="00164CCA">
      <w:pPr>
        <w:pStyle w:val="normal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Mientras a nivel nacional se está llevando adelante un programa de ordenamiento fiscal y reducción de la presión tributaria, con el objeto de achicar el Estado en beneficio de los ciudadanos y del sector productivo, el Presupuesto 2026 de la Ciudad replica un esquema de expansión real del gasto y de la recaudación, desaprovechando la oportunidad que brinda el nuevo escenario de menor inflación para avanzar en una agenda local de austeridad, eficiencia y alivio impositivo.</w:t>
      </w:r>
    </w:p>
    <w:p w:rsidR="00164CCA" w:rsidRDefault="00164CCA" w:rsidP="00164CCA">
      <w:pPr>
        <w:pStyle w:val="normal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Que, en este marco, apoyamos toda reducción de partidas, programas y organismos que no resulten esenciales para la prestación de servicios, así como las modificaciones a la Ley de Ministerios que impliquen una verdadera simplificación de estructuras y eliminación de cargos políticos superfluos; pero consideramos imprescindible que el esfuerzo de racionalización se refleje en una disminución efectiva del gasto total y no quede neutralizado por incrementos generalizados de créditos presupuestarios en partidas generales.</w:t>
      </w:r>
    </w:p>
    <w:p w:rsidR="00164CCA" w:rsidRDefault="00164CCA" w:rsidP="00164CCA">
      <w:pPr>
        <w:pStyle w:val="normal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Nuestro bloque entiende que el Presupuesto 2026, tal como ha sido remitido, configura un aumento real del tamaño del Estado y de la presión fiscal sobre los contribuyentes de la Ciudad, y propone revisar a la baja el crecimiento nominal tanto de los gastos como de los recursos, alineándolo con las nuevas proyecciones de inflación y con un sendero de reducción gradual de impuestos, de modo de garantizar el superávit fiscal a partir de una genuina política de austeridad y eficiencia en el uso de los recursos públicos.</w:t>
      </w:r>
    </w:p>
    <w:p w:rsidR="00164CCA" w:rsidRDefault="00164CCA" w:rsidP="00164CCA">
      <w:pPr>
        <w:pStyle w:val="normal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Que, por tal motivo, solicito sea incorporada la presente observación en los términos y con los efectos previstos en el artículo 169 y demás artículos concordantes del Reglamento de la Legislatura de la Ciudad Autónoma de Buenos Aires.</w:t>
      </w:r>
    </w:p>
    <w:p w:rsidR="00164CCA" w:rsidRDefault="00164CCA" w:rsidP="00164CCA">
      <w:pPr>
        <w:pStyle w:val="normal0"/>
        <w:ind w:firstLine="720"/>
        <w:jc w:val="both"/>
        <w:rPr>
          <w:rFonts w:ascii="Times New Roman" w:eastAsia="Times New Roman" w:hAnsi="Times New Roman" w:cs="Times New Roman"/>
          <w:sz w:val="24"/>
          <w:szCs w:val="24"/>
        </w:rPr>
      </w:pPr>
    </w:p>
    <w:p w:rsidR="00164CCA" w:rsidRDefault="00164CCA" w:rsidP="00164CCA">
      <w:pPr>
        <w:pStyle w:val="normal0"/>
        <w:ind w:firstLine="720"/>
        <w:jc w:val="both"/>
        <w:rPr>
          <w:rFonts w:ascii="Times New Roman" w:eastAsia="Times New Roman" w:hAnsi="Times New Roman" w:cs="Times New Roman"/>
          <w:sz w:val="24"/>
          <w:szCs w:val="24"/>
        </w:rPr>
      </w:pPr>
    </w:p>
    <w:p w:rsidR="00164CCA" w:rsidRDefault="00994587" w:rsidP="00994587">
      <w:pPr>
        <w:pStyle w:val="norm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KIENAST, Marina; </w:t>
      </w:r>
      <w:r w:rsidR="00164CCA">
        <w:rPr>
          <w:rFonts w:ascii="Times New Roman" w:eastAsia="Times New Roman" w:hAnsi="Times New Roman" w:cs="Times New Roman"/>
          <w:sz w:val="24"/>
          <w:szCs w:val="24"/>
        </w:rPr>
        <w:t>FLEITAS, Rebeca</w:t>
      </w:r>
      <w:r>
        <w:rPr>
          <w:rFonts w:ascii="Times New Roman" w:eastAsia="Times New Roman" w:hAnsi="Times New Roman" w:cs="Times New Roman"/>
          <w:sz w:val="24"/>
          <w:szCs w:val="24"/>
        </w:rPr>
        <w:t xml:space="preserve">; </w:t>
      </w:r>
      <w:r w:rsidR="00164CCA">
        <w:rPr>
          <w:rFonts w:ascii="Times New Roman" w:eastAsia="Times New Roman" w:hAnsi="Times New Roman" w:cs="Times New Roman"/>
          <w:sz w:val="24"/>
          <w:szCs w:val="24"/>
        </w:rPr>
        <w:t>MONTENEGRO, Lucia</w:t>
      </w:r>
      <w:r>
        <w:rPr>
          <w:rFonts w:ascii="Times New Roman" w:eastAsia="Times New Roman" w:hAnsi="Times New Roman" w:cs="Times New Roman"/>
          <w:sz w:val="24"/>
          <w:szCs w:val="24"/>
        </w:rPr>
        <w:t xml:space="preserve">; SAIFERT, Leonardo; </w:t>
      </w:r>
      <w:r w:rsidR="00164CCA">
        <w:rPr>
          <w:rFonts w:ascii="Times New Roman" w:eastAsia="Times New Roman" w:hAnsi="Times New Roman" w:cs="Times New Roman"/>
          <w:sz w:val="24"/>
          <w:szCs w:val="24"/>
        </w:rPr>
        <w:t>IMAS, Silvia.</w:t>
      </w:r>
    </w:p>
    <w:p w:rsidR="00AF6364" w:rsidRPr="004F14B4" w:rsidRDefault="00AF6364">
      <w:pPr>
        <w:rPr>
          <w:rFonts w:ascii="Times New Roman" w:hAnsi="Times New Roman" w:cs="Times New Roman"/>
        </w:rPr>
      </w:pPr>
    </w:p>
    <w:sectPr w:rsidR="00AF6364" w:rsidRPr="004F14B4" w:rsidSect="00C60B5C">
      <w:pgSz w:w="12240" w:h="20160" w:code="5"/>
      <w:pgMar w:top="1418" w:right="1701" w:bottom="1418" w:left="1701" w:header="709"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3997" w:rsidRDefault="00003997" w:rsidP="00AF6364">
      <w:pPr>
        <w:spacing w:after="0" w:line="240" w:lineRule="auto"/>
      </w:pPr>
      <w:r>
        <w:separator/>
      </w:r>
    </w:p>
  </w:endnote>
  <w:endnote w:type="continuationSeparator" w:id="0">
    <w:p w:rsidR="00003997" w:rsidRDefault="00003997" w:rsidP="00AF63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3997" w:rsidRDefault="00003997" w:rsidP="00AF6364">
      <w:pPr>
        <w:spacing w:after="0" w:line="240" w:lineRule="auto"/>
      </w:pPr>
      <w:r>
        <w:separator/>
      </w:r>
    </w:p>
  </w:footnote>
  <w:footnote w:type="continuationSeparator" w:id="0">
    <w:p w:rsidR="00003997" w:rsidRDefault="00003997" w:rsidP="00AF636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8"/>
  <w:proofState w:spelling="clean" w:grammar="clean"/>
  <w:attachedTemplate r:id="rId1"/>
  <w:defaultTabStop w:val="708"/>
  <w:hyphenationZone w:val="425"/>
  <w:characterSpacingControl w:val="doNotCompress"/>
  <w:hdrShapeDefaults>
    <o:shapedefaults v:ext="edit" spidmax="6146"/>
  </w:hdrShapeDefaults>
  <w:footnotePr>
    <w:footnote w:id="-1"/>
    <w:footnote w:id="0"/>
  </w:footnotePr>
  <w:endnotePr>
    <w:endnote w:id="-1"/>
    <w:endnote w:id="0"/>
  </w:endnotePr>
  <w:compat/>
  <w:rsids>
    <w:rsidRoot w:val="001A46EF"/>
    <w:rsid w:val="00003997"/>
    <w:rsid w:val="00164CCA"/>
    <w:rsid w:val="001A46EF"/>
    <w:rsid w:val="002B0876"/>
    <w:rsid w:val="003A7B3E"/>
    <w:rsid w:val="00425C91"/>
    <w:rsid w:val="0047205C"/>
    <w:rsid w:val="004A51C5"/>
    <w:rsid w:val="004F14B4"/>
    <w:rsid w:val="00597CD1"/>
    <w:rsid w:val="00646C3C"/>
    <w:rsid w:val="006D1BAF"/>
    <w:rsid w:val="006E4861"/>
    <w:rsid w:val="00725914"/>
    <w:rsid w:val="0072782F"/>
    <w:rsid w:val="00746F04"/>
    <w:rsid w:val="00785CAD"/>
    <w:rsid w:val="00813615"/>
    <w:rsid w:val="0081386C"/>
    <w:rsid w:val="00887FEC"/>
    <w:rsid w:val="00917DB7"/>
    <w:rsid w:val="00994587"/>
    <w:rsid w:val="009A4135"/>
    <w:rsid w:val="00AF3B91"/>
    <w:rsid w:val="00AF6364"/>
    <w:rsid w:val="00B32BA1"/>
    <w:rsid w:val="00C60B5C"/>
    <w:rsid w:val="00CA16B7"/>
    <w:rsid w:val="00CA30FD"/>
    <w:rsid w:val="00D5427C"/>
    <w:rsid w:val="00DA49C3"/>
    <w:rsid w:val="00DA6887"/>
    <w:rsid w:val="00E64437"/>
    <w:rsid w:val="00E82E69"/>
    <w:rsid w:val="00F47AF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0FD"/>
  </w:style>
  <w:style w:type="paragraph" w:styleId="Ttulo1">
    <w:name w:val="heading 1"/>
    <w:basedOn w:val="Normal"/>
    <w:next w:val="Normal"/>
    <w:link w:val="Ttulo1Car"/>
    <w:uiPriority w:val="9"/>
    <w:qFormat/>
    <w:rsid w:val="00AF63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F63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F636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F636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F636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F636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F636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F636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F636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F636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F636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F636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F636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F636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F636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F636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F636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F6364"/>
    <w:rPr>
      <w:rFonts w:eastAsiaTheme="majorEastAsia" w:cstheme="majorBidi"/>
      <w:color w:val="272727" w:themeColor="text1" w:themeTint="D8"/>
    </w:rPr>
  </w:style>
  <w:style w:type="paragraph" w:styleId="Ttulo">
    <w:name w:val="Title"/>
    <w:basedOn w:val="Normal"/>
    <w:next w:val="Normal"/>
    <w:link w:val="TtuloCar"/>
    <w:uiPriority w:val="10"/>
    <w:qFormat/>
    <w:rsid w:val="00AF63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F636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F636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F636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F6364"/>
    <w:pPr>
      <w:spacing w:before="160"/>
      <w:jc w:val="center"/>
    </w:pPr>
    <w:rPr>
      <w:i/>
      <w:iCs/>
      <w:color w:val="404040" w:themeColor="text1" w:themeTint="BF"/>
    </w:rPr>
  </w:style>
  <w:style w:type="character" w:customStyle="1" w:styleId="CitaCar">
    <w:name w:val="Cita Car"/>
    <w:basedOn w:val="Fuentedeprrafopredeter"/>
    <w:link w:val="Cita"/>
    <w:uiPriority w:val="29"/>
    <w:rsid w:val="00AF6364"/>
    <w:rPr>
      <w:i/>
      <w:iCs/>
      <w:color w:val="404040" w:themeColor="text1" w:themeTint="BF"/>
    </w:rPr>
  </w:style>
  <w:style w:type="paragraph" w:styleId="Prrafodelista">
    <w:name w:val="List Paragraph"/>
    <w:basedOn w:val="Normal"/>
    <w:uiPriority w:val="34"/>
    <w:qFormat/>
    <w:rsid w:val="00AF6364"/>
    <w:pPr>
      <w:ind w:left="720"/>
      <w:contextualSpacing/>
    </w:pPr>
  </w:style>
  <w:style w:type="character" w:styleId="nfasisintenso">
    <w:name w:val="Intense Emphasis"/>
    <w:basedOn w:val="Fuentedeprrafopredeter"/>
    <w:uiPriority w:val="21"/>
    <w:qFormat/>
    <w:rsid w:val="00AF6364"/>
    <w:rPr>
      <w:i/>
      <w:iCs/>
      <w:color w:val="0F4761" w:themeColor="accent1" w:themeShade="BF"/>
    </w:rPr>
  </w:style>
  <w:style w:type="paragraph" w:styleId="Citadestacada">
    <w:name w:val="Intense Quote"/>
    <w:basedOn w:val="Normal"/>
    <w:next w:val="Normal"/>
    <w:link w:val="CitadestacadaCar"/>
    <w:uiPriority w:val="30"/>
    <w:qFormat/>
    <w:rsid w:val="00AF63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F6364"/>
    <w:rPr>
      <w:i/>
      <w:iCs/>
      <w:color w:val="0F4761" w:themeColor="accent1" w:themeShade="BF"/>
    </w:rPr>
  </w:style>
  <w:style w:type="character" w:styleId="Referenciaintensa">
    <w:name w:val="Intense Reference"/>
    <w:basedOn w:val="Fuentedeprrafopredeter"/>
    <w:uiPriority w:val="32"/>
    <w:qFormat/>
    <w:rsid w:val="00AF6364"/>
    <w:rPr>
      <w:b/>
      <w:bCs/>
      <w:smallCaps/>
      <w:color w:val="0F4761" w:themeColor="accent1" w:themeShade="BF"/>
      <w:spacing w:val="5"/>
    </w:rPr>
  </w:style>
  <w:style w:type="paragraph" w:styleId="Encabezado">
    <w:name w:val="header"/>
    <w:basedOn w:val="Normal"/>
    <w:link w:val="EncabezadoCar"/>
    <w:uiPriority w:val="99"/>
    <w:unhideWhenUsed/>
    <w:rsid w:val="00AF636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F6364"/>
  </w:style>
  <w:style w:type="paragraph" w:styleId="Piedepgina">
    <w:name w:val="footer"/>
    <w:basedOn w:val="Normal"/>
    <w:link w:val="PiedepginaCar"/>
    <w:unhideWhenUsed/>
    <w:rsid w:val="00AF636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F6364"/>
  </w:style>
  <w:style w:type="character" w:styleId="Nmerodepgina">
    <w:name w:val="page number"/>
    <w:basedOn w:val="Fuentedeprrafopredeter"/>
    <w:rsid w:val="009A4135"/>
  </w:style>
  <w:style w:type="paragraph" w:customStyle="1" w:styleId="normal0">
    <w:name w:val="normal"/>
    <w:rsid w:val="00164CCA"/>
    <w:rPr>
      <w:rFonts w:ascii="Aptos" w:eastAsia="Aptos" w:hAnsi="Aptos" w:cs="Aptos"/>
      <w:kern w:val="0"/>
      <w:lang w:eastAsia="es-E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weiss\Downloads\3caafb4b-8b46-4eed-92fb-f364676a4d66.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3caafb4b-8b46-4eed-92fb-f364676a4d66.dotx</Template>
  <TotalTime>3</TotalTime>
  <Pages>2</Pages>
  <Words>682</Words>
  <Characters>3754</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maweiss</dc:creator>
  <cp:lastModifiedBy>luantonelli</cp:lastModifiedBy>
  <cp:revision>3</cp:revision>
  <cp:lastPrinted>2025-02-20T15:39:00Z</cp:lastPrinted>
  <dcterms:created xsi:type="dcterms:W3CDTF">2025-11-26T15:40:00Z</dcterms:created>
  <dcterms:modified xsi:type="dcterms:W3CDTF">2025-11-26T16:03:00Z</dcterms:modified>
</cp:coreProperties>
</file>