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02" w:rsidRPr="00F548CC" w:rsidRDefault="003D4A02" w:rsidP="00F548CC">
      <w:pPr>
        <w:spacing w:line="360" w:lineRule="auto"/>
        <w:rPr>
          <w:szCs w:val="24"/>
          <w:lang w:val="es-MX"/>
        </w:rPr>
      </w:pPr>
    </w:p>
    <w:p w:rsidR="00157395" w:rsidRPr="00F548CC" w:rsidRDefault="00157395" w:rsidP="00F548CC">
      <w:pPr>
        <w:spacing w:line="360" w:lineRule="auto"/>
        <w:rPr>
          <w:szCs w:val="24"/>
          <w:lang w:val="es-MX"/>
        </w:rPr>
      </w:pPr>
    </w:p>
    <w:p w:rsidR="003D4A02" w:rsidRPr="00F548CC" w:rsidRDefault="003D4A02" w:rsidP="00F548CC">
      <w:pPr>
        <w:spacing w:line="360" w:lineRule="auto"/>
        <w:rPr>
          <w:szCs w:val="24"/>
          <w:lang w:val="es-MX"/>
        </w:rPr>
      </w:pPr>
      <w:r w:rsidRPr="00F548CC">
        <w:rPr>
          <w:szCs w:val="24"/>
          <w:lang w:val="es-MX"/>
        </w:rPr>
        <w:t>Legislatura de la Ciudad Autónoma de Buenos Aires</w:t>
      </w:r>
    </w:p>
    <w:p w:rsidR="003D4A02" w:rsidRPr="00F548CC" w:rsidRDefault="003D4A02" w:rsidP="00F548CC">
      <w:pPr>
        <w:spacing w:line="360" w:lineRule="auto"/>
        <w:rPr>
          <w:szCs w:val="24"/>
          <w:lang w:val="es-MX"/>
        </w:rPr>
      </w:pPr>
    </w:p>
    <w:p w:rsidR="003D4A02" w:rsidRPr="00F548CC" w:rsidRDefault="003D4A02" w:rsidP="00F548CC">
      <w:pPr>
        <w:spacing w:line="360" w:lineRule="auto"/>
        <w:rPr>
          <w:szCs w:val="24"/>
          <w:lang w:val="es-MX"/>
        </w:rPr>
      </w:pPr>
      <w:r w:rsidRPr="00F548CC">
        <w:rPr>
          <w:szCs w:val="24"/>
          <w:lang w:val="es-MX"/>
        </w:rPr>
        <w:t>Visto:</w:t>
      </w:r>
    </w:p>
    <w:p w:rsidR="003D4A02" w:rsidRPr="00F548CC" w:rsidRDefault="003D4A02" w:rsidP="00F548CC">
      <w:pPr>
        <w:spacing w:line="360" w:lineRule="auto"/>
        <w:rPr>
          <w:szCs w:val="24"/>
          <w:lang w:val="es-MX"/>
        </w:rPr>
      </w:pPr>
    </w:p>
    <w:p w:rsidR="00157395" w:rsidRPr="00F548CC" w:rsidRDefault="003D4A02" w:rsidP="00F548CC">
      <w:pPr>
        <w:spacing w:line="360" w:lineRule="auto"/>
        <w:rPr>
          <w:szCs w:val="24"/>
        </w:rPr>
      </w:pPr>
      <w:r w:rsidRPr="00F548CC">
        <w:rPr>
          <w:szCs w:val="24"/>
          <w:lang w:val="es-MX"/>
        </w:rPr>
        <w:tab/>
      </w:r>
      <w:r w:rsidR="006F6E03" w:rsidRPr="00F548CC">
        <w:rPr>
          <w:szCs w:val="24"/>
          <w:lang w:val="es-MX"/>
        </w:rPr>
        <w:t>El Expediente N° 831-D-2026, de Ley, de autoría de la Diputada María del Pilar Ramíre</w:t>
      </w:r>
      <w:r w:rsidR="00157395" w:rsidRPr="00F548CC">
        <w:rPr>
          <w:szCs w:val="24"/>
          <w:lang w:val="es-MX"/>
        </w:rPr>
        <w:t xml:space="preserve">z en coautoría de los Diputados Juan Pablo Arenaza, Marcelo Gregorio Ernst, Juan Ignacio Fernández, Rebeca Fleitas, Andrea Freguia, Silvia Imás, Marina Kienast, Lucia Montenegro, Nicolás Pakgojz, Sandra Mónica Rey, Leonardo Saifert y Diego Vartabedian, en el cual se propicia la adhesión a las </w:t>
      </w:r>
      <w:r w:rsidR="00EB24A6" w:rsidRPr="00F548CC">
        <w:rPr>
          <w:szCs w:val="24"/>
          <w:lang w:val="es-MX"/>
        </w:rPr>
        <w:t>disposiciones</w:t>
      </w:r>
      <w:r w:rsidR="00157395" w:rsidRPr="00F548CC">
        <w:rPr>
          <w:szCs w:val="24"/>
          <w:lang w:val="es-MX"/>
        </w:rPr>
        <w:t xml:space="preserve"> contenidas </w:t>
      </w:r>
      <w:r w:rsidR="00157395" w:rsidRPr="00F548CC">
        <w:rPr>
          <w:szCs w:val="24"/>
        </w:rPr>
        <w:t>en el Título VII  de la Ley Nacional 27.742 “Régimen</w:t>
      </w:r>
      <w:r w:rsidR="00157395" w:rsidRPr="00F548CC">
        <w:rPr>
          <w:spacing w:val="40"/>
          <w:szCs w:val="24"/>
        </w:rPr>
        <w:t xml:space="preserve"> </w:t>
      </w:r>
      <w:r w:rsidR="00157395" w:rsidRPr="00F548CC">
        <w:rPr>
          <w:szCs w:val="24"/>
        </w:rPr>
        <w:t xml:space="preserve">de Incentivos para Grandes Inversiones” </w:t>
      </w:r>
    </w:p>
    <w:p w:rsidR="00366965" w:rsidRPr="00F548CC" w:rsidRDefault="00366965" w:rsidP="00F548CC">
      <w:pPr>
        <w:spacing w:line="360" w:lineRule="auto"/>
        <w:rPr>
          <w:szCs w:val="24"/>
          <w:lang w:val="es-MX"/>
        </w:rPr>
      </w:pPr>
    </w:p>
    <w:p w:rsidR="003D4A02" w:rsidRPr="00F548CC" w:rsidRDefault="00157395" w:rsidP="00F548CC">
      <w:pPr>
        <w:spacing w:line="360" w:lineRule="auto"/>
        <w:rPr>
          <w:szCs w:val="24"/>
          <w:lang w:val="es-MX"/>
        </w:rPr>
      </w:pPr>
      <w:r w:rsidRPr="00F548CC">
        <w:rPr>
          <w:szCs w:val="24"/>
          <w:lang w:val="es-MX"/>
        </w:rPr>
        <w:t xml:space="preserve"> </w:t>
      </w:r>
    </w:p>
    <w:p w:rsidR="003D4A02" w:rsidRPr="00F548CC" w:rsidRDefault="003D4A02" w:rsidP="00F548CC">
      <w:pPr>
        <w:spacing w:line="360" w:lineRule="auto"/>
        <w:rPr>
          <w:szCs w:val="24"/>
          <w:lang w:val="es-MX"/>
        </w:rPr>
      </w:pPr>
    </w:p>
    <w:p w:rsidR="003D4A02" w:rsidRPr="00F548CC" w:rsidRDefault="003D4A02" w:rsidP="00F548CC">
      <w:pPr>
        <w:spacing w:line="360" w:lineRule="auto"/>
        <w:rPr>
          <w:b/>
          <w:szCs w:val="24"/>
          <w:lang w:val="es-MX"/>
        </w:rPr>
      </w:pPr>
      <w:r w:rsidRPr="00F548CC">
        <w:rPr>
          <w:b/>
          <w:szCs w:val="24"/>
          <w:lang w:val="es-MX"/>
        </w:rPr>
        <w:t>Considerando:</w:t>
      </w:r>
    </w:p>
    <w:p w:rsidR="003D4A02" w:rsidRPr="00F548CC" w:rsidRDefault="003D4A02" w:rsidP="00F548CC">
      <w:pPr>
        <w:spacing w:line="360" w:lineRule="auto"/>
        <w:rPr>
          <w:szCs w:val="24"/>
          <w:lang w:val="es-MX"/>
        </w:rPr>
      </w:pP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 xml:space="preserve">Que el proyecto tiene por objeto disponer la adhesión de la Ciudad Autónoma de Buenos Aires al Régimen de Incentivo para Grandes Inversiones (RIGI), instituido por el Título VII de la Ley Nacional N° 27.742. </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Que el régimen</w:t>
      </w:r>
      <w:r w:rsidRPr="00F548CC">
        <w:rPr>
          <w:rFonts w:ascii="Times New Roman" w:hAnsi="Times New Roman" w:cs="Times New Roman"/>
          <w:spacing w:val="-3"/>
        </w:rPr>
        <w:t xml:space="preserve"> </w:t>
      </w:r>
      <w:r w:rsidRPr="00F548CC">
        <w:rPr>
          <w:rFonts w:ascii="Times New Roman" w:hAnsi="Times New Roman" w:cs="Times New Roman"/>
        </w:rPr>
        <w:t>fue</w:t>
      </w:r>
      <w:r w:rsidRPr="00F548CC">
        <w:rPr>
          <w:rFonts w:ascii="Times New Roman" w:hAnsi="Times New Roman" w:cs="Times New Roman"/>
          <w:spacing w:val="-3"/>
        </w:rPr>
        <w:t xml:space="preserve"> </w:t>
      </w:r>
      <w:r w:rsidRPr="00F548CC">
        <w:rPr>
          <w:rFonts w:ascii="Times New Roman" w:hAnsi="Times New Roman" w:cs="Times New Roman"/>
        </w:rPr>
        <w:t>creado</w:t>
      </w:r>
      <w:r w:rsidRPr="00F548CC">
        <w:rPr>
          <w:rFonts w:ascii="Times New Roman" w:hAnsi="Times New Roman" w:cs="Times New Roman"/>
          <w:spacing w:val="-3"/>
        </w:rPr>
        <w:t xml:space="preserve"> </w:t>
      </w:r>
      <w:r w:rsidRPr="00F548CC">
        <w:rPr>
          <w:rFonts w:ascii="Times New Roman" w:hAnsi="Times New Roman" w:cs="Times New Roman"/>
        </w:rPr>
        <w:t>para</w:t>
      </w:r>
      <w:r w:rsidRPr="00F548CC">
        <w:rPr>
          <w:rFonts w:ascii="Times New Roman" w:hAnsi="Times New Roman" w:cs="Times New Roman"/>
          <w:spacing w:val="-3"/>
        </w:rPr>
        <w:t xml:space="preserve"> </w:t>
      </w:r>
      <w:r w:rsidRPr="00F548CC">
        <w:rPr>
          <w:rFonts w:ascii="Times New Roman" w:hAnsi="Times New Roman" w:cs="Times New Roman"/>
        </w:rPr>
        <w:t>otorgar,</w:t>
      </w:r>
      <w:r w:rsidRPr="00F548CC">
        <w:rPr>
          <w:rFonts w:ascii="Times New Roman" w:hAnsi="Times New Roman" w:cs="Times New Roman"/>
          <w:spacing w:val="-3"/>
        </w:rPr>
        <w:t xml:space="preserve"> </w:t>
      </w:r>
      <w:r w:rsidRPr="00F548CC">
        <w:rPr>
          <w:rFonts w:ascii="Times New Roman" w:hAnsi="Times New Roman" w:cs="Times New Roman"/>
        </w:rPr>
        <w:t>a</w:t>
      </w:r>
      <w:r w:rsidRPr="00F548CC">
        <w:rPr>
          <w:rFonts w:ascii="Times New Roman" w:hAnsi="Times New Roman" w:cs="Times New Roman"/>
          <w:spacing w:val="-7"/>
        </w:rPr>
        <w:t xml:space="preserve"> </w:t>
      </w:r>
      <w:r w:rsidRPr="00F548CC">
        <w:rPr>
          <w:rFonts w:ascii="Times New Roman" w:hAnsi="Times New Roman" w:cs="Times New Roman"/>
        </w:rPr>
        <w:t>los</w:t>
      </w:r>
      <w:r w:rsidRPr="00F548CC">
        <w:rPr>
          <w:rFonts w:ascii="Times New Roman" w:hAnsi="Times New Roman" w:cs="Times New Roman"/>
          <w:spacing w:val="-3"/>
        </w:rPr>
        <w:t xml:space="preserve"> </w:t>
      </w:r>
      <w:r w:rsidRPr="00F548CC">
        <w:rPr>
          <w:rFonts w:ascii="Times New Roman" w:hAnsi="Times New Roman" w:cs="Times New Roman"/>
        </w:rPr>
        <w:t>vehículos</w:t>
      </w:r>
      <w:r w:rsidRPr="00F548CC">
        <w:rPr>
          <w:rFonts w:ascii="Times New Roman" w:hAnsi="Times New Roman" w:cs="Times New Roman"/>
          <w:spacing w:val="-3"/>
        </w:rPr>
        <w:t xml:space="preserve"> </w:t>
      </w:r>
      <w:r w:rsidRPr="00F548CC">
        <w:rPr>
          <w:rFonts w:ascii="Times New Roman" w:hAnsi="Times New Roman" w:cs="Times New Roman"/>
        </w:rPr>
        <w:t>titulares</w:t>
      </w:r>
      <w:r w:rsidRPr="00F548CC">
        <w:rPr>
          <w:rFonts w:ascii="Times New Roman" w:hAnsi="Times New Roman" w:cs="Times New Roman"/>
          <w:spacing w:val="-3"/>
        </w:rPr>
        <w:t xml:space="preserve"> </w:t>
      </w:r>
      <w:r w:rsidRPr="00F548CC">
        <w:rPr>
          <w:rFonts w:ascii="Times New Roman" w:hAnsi="Times New Roman" w:cs="Times New Roman"/>
        </w:rPr>
        <w:t>de</w:t>
      </w:r>
      <w:r w:rsidRPr="00F548CC">
        <w:rPr>
          <w:rFonts w:ascii="Times New Roman" w:hAnsi="Times New Roman" w:cs="Times New Roman"/>
          <w:spacing w:val="-3"/>
        </w:rPr>
        <w:t xml:space="preserve"> </w:t>
      </w:r>
      <w:r w:rsidRPr="00F548CC">
        <w:rPr>
          <w:rFonts w:ascii="Times New Roman" w:hAnsi="Times New Roman" w:cs="Times New Roman"/>
        </w:rPr>
        <w:t>un</w:t>
      </w:r>
      <w:r w:rsidRPr="00F548CC">
        <w:rPr>
          <w:rFonts w:ascii="Times New Roman" w:hAnsi="Times New Roman" w:cs="Times New Roman"/>
          <w:spacing w:val="-3"/>
        </w:rPr>
        <w:t xml:space="preserve"> </w:t>
      </w:r>
      <w:r w:rsidRPr="00F548CC">
        <w:rPr>
          <w:rFonts w:ascii="Times New Roman" w:hAnsi="Times New Roman" w:cs="Times New Roman"/>
        </w:rPr>
        <w:t>único proyecto</w:t>
      </w:r>
      <w:r w:rsidRPr="00F548CC">
        <w:rPr>
          <w:rFonts w:ascii="Times New Roman" w:hAnsi="Times New Roman" w:cs="Times New Roman"/>
          <w:spacing w:val="-2"/>
        </w:rPr>
        <w:t xml:space="preserve"> </w:t>
      </w:r>
      <w:r w:rsidRPr="00F548CC">
        <w:rPr>
          <w:rFonts w:ascii="Times New Roman" w:hAnsi="Times New Roman" w:cs="Times New Roman"/>
        </w:rPr>
        <w:t>que cumplan con</w:t>
      </w:r>
      <w:r w:rsidRPr="00F548CC">
        <w:rPr>
          <w:rFonts w:ascii="Times New Roman" w:hAnsi="Times New Roman" w:cs="Times New Roman"/>
          <w:spacing w:val="-3"/>
        </w:rPr>
        <w:t xml:space="preserve"> </w:t>
      </w:r>
      <w:r w:rsidRPr="00F548CC">
        <w:rPr>
          <w:rFonts w:ascii="Times New Roman" w:hAnsi="Times New Roman" w:cs="Times New Roman"/>
        </w:rPr>
        <w:t>los</w:t>
      </w:r>
      <w:r w:rsidRPr="00F548CC">
        <w:rPr>
          <w:rFonts w:ascii="Times New Roman" w:hAnsi="Times New Roman" w:cs="Times New Roman"/>
          <w:spacing w:val="-3"/>
        </w:rPr>
        <w:t xml:space="preserve"> </w:t>
      </w:r>
      <w:r w:rsidRPr="00F548CC">
        <w:rPr>
          <w:rFonts w:ascii="Times New Roman" w:hAnsi="Times New Roman" w:cs="Times New Roman"/>
        </w:rPr>
        <w:t>requisitos</w:t>
      </w:r>
      <w:r w:rsidRPr="00F548CC">
        <w:rPr>
          <w:rFonts w:ascii="Times New Roman" w:hAnsi="Times New Roman" w:cs="Times New Roman"/>
          <w:spacing w:val="-3"/>
        </w:rPr>
        <w:t xml:space="preserve"> </w:t>
      </w:r>
      <w:r w:rsidRPr="00F548CC">
        <w:rPr>
          <w:rFonts w:ascii="Times New Roman" w:hAnsi="Times New Roman" w:cs="Times New Roman"/>
        </w:rPr>
        <w:t>legales,</w:t>
      </w:r>
      <w:r w:rsidRPr="00F548CC">
        <w:rPr>
          <w:rFonts w:ascii="Times New Roman" w:hAnsi="Times New Roman" w:cs="Times New Roman"/>
          <w:spacing w:val="-3"/>
        </w:rPr>
        <w:t xml:space="preserve"> </w:t>
      </w:r>
      <w:r w:rsidRPr="00F548CC">
        <w:rPr>
          <w:rFonts w:ascii="Times New Roman" w:hAnsi="Times New Roman" w:cs="Times New Roman"/>
        </w:rPr>
        <w:t>incentivos, certidumbre, seguridad jurídica y</w:t>
      </w:r>
      <w:r w:rsidRPr="00F548CC">
        <w:rPr>
          <w:rFonts w:ascii="Times New Roman" w:hAnsi="Times New Roman" w:cs="Times New Roman"/>
          <w:spacing w:val="-3"/>
        </w:rPr>
        <w:t xml:space="preserve"> </w:t>
      </w:r>
      <w:r w:rsidRPr="00F548CC">
        <w:rPr>
          <w:rFonts w:ascii="Times New Roman" w:hAnsi="Times New Roman" w:cs="Times New Roman"/>
        </w:rPr>
        <w:t>un sistema eficiente de protección de derechos adquiridos, en el marco de</w:t>
      </w:r>
      <w:r w:rsidRPr="00F548CC">
        <w:rPr>
          <w:rFonts w:ascii="Times New Roman" w:hAnsi="Times New Roman" w:cs="Times New Roman"/>
          <w:spacing w:val="40"/>
        </w:rPr>
        <w:t xml:space="preserve"> </w:t>
      </w:r>
      <w:r w:rsidRPr="00F548CC">
        <w:rPr>
          <w:rFonts w:ascii="Times New Roman" w:hAnsi="Times New Roman" w:cs="Times New Roman"/>
        </w:rPr>
        <w:t>inversiones útiles y conducentes para la prosperidad del país y bienestar de las provincias, de la Ciudad Autónoma de Buenos Aires y de los municipios.</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Que la ley establece como objetivos prioritarios del RIGI incentivar grandes</w:t>
      </w:r>
      <w:r w:rsidRPr="00F548CC">
        <w:rPr>
          <w:rFonts w:ascii="Times New Roman" w:hAnsi="Times New Roman" w:cs="Times New Roman"/>
          <w:spacing w:val="40"/>
        </w:rPr>
        <w:t xml:space="preserve"> </w:t>
      </w:r>
      <w:r w:rsidRPr="00F548CC">
        <w:rPr>
          <w:rFonts w:ascii="Times New Roman" w:hAnsi="Times New Roman" w:cs="Times New Roman"/>
        </w:rPr>
        <w:t>inversiones nacionales y extranjeras, promover el desarrollo económico, fortalecer la competitividad, incrementar exportaciones, favorecer la creación de empleo, generar</w:t>
      </w:r>
      <w:r w:rsidRPr="00F548CC">
        <w:rPr>
          <w:rFonts w:ascii="Times New Roman" w:hAnsi="Times New Roman" w:cs="Times New Roman"/>
          <w:spacing w:val="-2"/>
        </w:rPr>
        <w:t xml:space="preserve"> </w:t>
      </w:r>
      <w:r w:rsidRPr="00F548CC">
        <w:rPr>
          <w:rFonts w:ascii="Times New Roman" w:hAnsi="Times New Roman" w:cs="Times New Roman"/>
        </w:rPr>
        <w:t>condiciones</w:t>
      </w:r>
      <w:r w:rsidRPr="00F548CC">
        <w:rPr>
          <w:rFonts w:ascii="Times New Roman" w:hAnsi="Times New Roman" w:cs="Times New Roman"/>
          <w:spacing w:val="-3"/>
        </w:rPr>
        <w:t xml:space="preserve"> </w:t>
      </w:r>
      <w:r w:rsidRPr="00F548CC">
        <w:rPr>
          <w:rFonts w:ascii="Times New Roman" w:hAnsi="Times New Roman" w:cs="Times New Roman"/>
        </w:rPr>
        <w:t>de</w:t>
      </w:r>
      <w:r w:rsidRPr="00F548CC">
        <w:rPr>
          <w:rFonts w:ascii="Times New Roman" w:hAnsi="Times New Roman" w:cs="Times New Roman"/>
          <w:spacing w:val="-3"/>
        </w:rPr>
        <w:t xml:space="preserve"> </w:t>
      </w:r>
      <w:r w:rsidRPr="00F548CC">
        <w:rPr>
          <w:rFonts w:ascii="Times New Roman" w:hAnsi="Times New Roman" w:cs="Times New Roman"/>
        </w:rPr>
        <w:t>previsibilidad</w:t>
      </w:r>
      <w:r w:rsidRPr="00F548CC">
        <w:rPr>
          <w:rFonts w:ascii="Times New Roman" w:hAnsi="Times New Roman" w:cs="Times New Roman"/>
          <w:spacing w:val="-3"/>
        </w:rPr>
        <w:t xml:space="preserve"> </w:t>
      </w:r>
      <w:r w:rsidRPr="00F548CC">
        <w:rPr>
          <w:rFonts w:ascii="Times New Roman" w:hAnsi="Times New Roman" w:cs="Times New Roman"/>
        </w:rPr>
        <w:t>y</w:t>
      </w:r>
      <w:r w:rsidRPr="00F548CC">
        <w:rPr>
          <w:rFonts w:ascii="Times New Roman" w:hAnsi="Times New Roman" w:cs="Times New Roman"/>
          <w:spacing w:val="-3"/>
        </w:rPr>
        <w:t xml:space="preserve"> </w:t>
      </w:r>
      <w:r w:rsidRPr="00F548CC">
        <w:rPr>
          <w:rFonts w:ascii="Times New Roman" w:hAnsi="Times New Roman" w:cs="Times New Roman"/>
        </w:rPr>
        <w:t>estabilidad</w:t>
      </w:r>
      <w:r w:rsidRPr="00F548CC">
        <w:rPr>
          <w:rFonts w:ascii="Times New Roman" w:hAnsi="Times New Roman" w:cs="Times New Roman"/>
          <w:spacing w:val="-6"/>
        </w:rPr>
        <w:t xml:space="preserve"> </w:t>
      </w:r>
      <w:r w:rsidRPr="00F548CC">
        <w:rPr>
          <w:rFonts w:ascii="Times New Roman" w:hAnsi="Times New Roman" w:cs="Times New Roman"/>
        </w:rPr>
        <w:t>para</w:t>
      </w:r>
      <w:r w:rsidRPr="00F548CC">
        <w:rPr>
          <w:rFonts w:ascii="Times New Roman" w:hAnsi="Times New Roman" w:cs="Times New Roman"/>
          <w:spacing w:val="-6"/>
        </w:rPr>
        <w:t xml:space="preserve"> </w:t>
      </w:r>
      <w:r w:rsidRPr="00F548CC">
        <w:rPr>
          <w:rFonts w:ascii="Times New Roman" w:hAnsi="Times New Roman" w:cs="Times New Roman"/>
        </w:rPr>
        <w:t>proyectos</w:t>
      </w:r>
      <w:r w:rsidRPr="00F548CC">
        <w:rPr>
          <w:rFonts w:ascii="Times New Roman" w:hAnsi="Times New Roman" w:cs="Times New Roman"/>
          <w:spacing w:val="-3"/>
        </w:rPr>
        <w:t xml:space="preserve"> </w:t>
      </w:r>
      <w:r w:rsidRPr="00F548CC">
        <w:rPr>
          <w:rFonts w:ascii="Times New Roman" w:hAnsi="Times New Roman" w:cs="Times New Roman"/>
        </w:rPr>
        <w:t>de</w:t>
      </w:r>
      <w:r w:rsidRPr="00F548CC">
        <w:rPr>
          <w:rFonts w:ascii="Times New Roman" w:hAnsi="Times New Roman" w:cs="Times New Roman"/>
          <w:spacing w:val="-3"/>
        </w:rPr>
        <w:t xml:space="preserve"> </w:t>
      </w:r>
      <w:r w:rsidRPr="00F548CC">
        <w:rPr>
          <w:rFonts w:ascii="Times New Roman" w:hAnsi="Times New Roman" w:cs="Times New Roman"/>
        </w:rPr>
        <w:t>gran</w:t>
      </w:r>
      <w:r w:rsidRPr="00F548CC">
        <w:rPr>
          <w:rFonts w:ascii="Times New Roman" w:hAnsi="Times New Roman" w:cs="Times New Roman"/>
          <w:spacing w:val="-3"/>
        </w:rPr>
        <w:t xml:space="preserve"> </w:t>
      </w:r>
      <w:r w:rsidRPr="00F548CC">
        <w:rPr>
          <w:rFonts w:ascii="Times New Roman" w:hAnsi="Times New Roman" w:cs="Times New Roman"/>
        </w:rPr>
        <w:t>escala</w:t>
      </w:r>
      <w:r w:rsidRPr="00F548CC">
        <w:rPr>
          <w:rFonts w:ascii="Times New Roman" w:hAnsi="Times New Roman" w:cs="Times New Roman"/>
          <w:spacing w:val="-3"/>
        </w:rPr>
        <w:t xml:space="preserve"> </w:t>
      </w:r>
      <w:r w:rsidRPr="00F548CC">
        <w:rPr>
          <w:rFonts w:ascii="Times New Roman" w:hAnsi="Times New Roman" w:cs="Times New Roman"/>
        </w:rPr>
        <w:t>y fomentar el desarrollo de cadenas de producción locales asociadas a los</w:t>
      </w:r>
      <w:r w:rsidRPr="00F548CC">
        <w:rPr>
          <w:rFonts w:ascii="Times New Roman" w:hAnsi="Times New Roman" w:cs="Times New Roman"/>
          <w:spacing w:val="40"/>
        </w:rPr>
        <w:t xml:space="preserve"> </w:t>
      </w:r>
      <w:r w:rsidRPr="00F548CC">
        <w:rPr>
          <w:rFonts w:ascii="Times New Roman" w:hAnsi="Times New Roman" w:cs="Times New Roman"/>
        </w:rPr>
        <w:t>proyectos comprendidos. Se trata, por lo tanto, de una herramienta legislativa concebida para remover obstáculos estructurales que históricamente han dificultado la radicación de inversiones de largo plazo en la República Argentina.</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Que asimismo, el régimen no se encuentra dirigido a cualquier actividad económica ni</w:t>
      </w:r>
      <w:r w:rsidRPr="00F548CC">
        <w:rPr>
          <w:rFonts w:ascii="Times New Roman" w:hAnsi="Times New Roman" w:cs="Times New Roman"/>
          <w:spacing w:val="40"/>
        </w:rPr>
        <w:t xml:space="preserve"> </w:t>
      </w:r>
      <w:r w:rsidRPr="00F548CC">
        <w:rPr>
          <w:rFonts w:ascii="Times New Roman" w:hAnsi="Times New Roman" w:cs="Times New Roman"/>
        </w:rPr>
        <w:t xml:space="preserve">a cualquier inversión. El artículo 167 de la Ley </w:t>
      </w:r>
      <w:r w:rsidR="00407E5C">
        <w:rPr>
          <w:rFonts w:ascii="Times New Roman" w:hAnsi="Times New Roman" w:cs="Times New Roman"/>
        </w:rPr>
        <w:t xml:space="preserve">Nacional </w:t>
      </w:r>
      <w:r w:rsidRPr="00F548CC">
        <w:rPr>
          <w:rFonts w:ascii="Times New Roman" w:hAnsi="Times New Roman" w:cs="Times New Roman"/>
        </w:rPr>
        <w:t xml:space="preserve">N° 27.742 lo circunscribe a proyectos correspondientes a sectores determinados —forestoindustria, turismo, infraestructura, minería, tecnología, siderurgia, energía, </w:t>
      </w:r>
      <w:r w:rsidRPr="00F548CC">
        <w:rPr>
          <w:rFonts w:ascii="Times New Roman" w:hAnsi="Times New Roman" w:cs="Times New Roman"/>
        </w:rPr>
        <w:lastRenderedPageBreak/>
        <w:t>petróleo y gas— y lo reserva a Vehículos de Proyecto Único (VPU), esto es, estructuras constituidas exclusivamente para el desarrollo de un proyecto admitido por el régimen. A ello</w:t>
      </w:r>
      <w:r w:rsidRPr="00F548CC">
        <w:rPr>
          <w:rFonts w:ascii="Times New Roman" w:hAnsi="Times New Roman" w:cs="Times New Roman"/>
          <w:spacing w:val="40"/>
        </w:rPr>
        <w:t xml:space="preserve"> </w:t>
      </w:r>
      <w:r w:rsidRPr="00F548CC">
        <w:rPr>
          <w:rFonts w:ascii="Times New Roman" w:hAnsi="Times New Roman" w:cs="Times New Roman"/>
        </w:rPr>
        <w:t>se suma que la ley fija, como regla general, un monto mínimo de inversión en activos computables de al menos USD 200.000.000, con exigencias de cumplimiento durante los primeros años para la permanencia en el régimen. Todo ello, revela que no se trata de un esquema general o indiscriminado, sino de un instrumento excepcional para proyectos de magnitud excepcional por su escala, complejidad y horizonte temporal. Proyectos que no se concretarán, o lo harán en otras jurisdicciones, en ausencia de condiciones de previsibilidad y competitividad acordes con los estándares que hoy ofrecen otros países, provincias y ciudades.</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Que la reglamentación nacional exige que el plan de inversión incluya un plan de desarrollo de proveedores locales, con el compromiso de contratar, para la provisión de bienes y obras vinculados al proyecto, un porcentaje del monto de inversión</w:t>
      </w:r>
      <w:r w:rsidRPr="00F548CC">
        <w:rPr>
          <w:rFonts w:ascii="Times New Roman" w:hAnsi="Times New Roman" w:cs="Times New Roman"/>
          <w:spacing w:val="28"/>
        </w:rPr>
        <w:t xml:space="preserve">  </w:t>
      </w:r>
      <w:r w:rsidRPr="00F548CC">
        <w:rPr>
          <w:rFonts w:ascii="Times New Roman" w:hAnsi="Times New Roman" w:cs="Times New Roman"/>
        </w:rPr>
        <w:t>destinado</w:t>
      </w:r>
      <w:r w:rsidRPr="00F548CC">
        <w:rPr>
          <w:rFonts w:ascii="Times New Roman" w:hAnsi="Times New Roman" w:cs="Times New Roman"/>
          <w:spacing w:val="30"/>
        </w:rPr>
        <w:t xml:space="preserve">  </w:t>
      </w:r>
      <w:r w:rsidRPr="00F548CC">
        <w:rPr>
          <w:rFonts w:ascii="Times New Roman" w:hAnsi="Times New Roman" w:cs="Times New Roman"/>
        </w:rPr>
        <w:t>al</w:t>
      </w:r>
      <w:r w:rsidRPr="00F548CC">
        <w:rPr>
          <w:rFonts w:ascii="Times New Roman" w:hAnsi="Times New Roman" w:cs="Times New Roman"/>
          <w:spacing w:val="30"/>
        </w:rPr>
        <w:t xml:space="preserve">  </w:t>
      </w:r>
      <w:r w:rsidRPr="00F548CC">
        <w:rPr>
          <w:rFonts w:ascii="Times New Roman" w:hAnsi="Times New Roman" w:cs="Times New Roman"/>
        </w:rPr>
        <w:t>pago</w:t>
      </w:r>
      <w:r w:rsidRPr="00F548CC">
        <w:rPr>
          <w:rFonts w:ascii="Times New Roman" w:hAnsi="Times New Roman" w:cs="Times New Roman"/>
          <w:spacing w:val="28"/>
        </w:rPr>
        <w:t xml:space="preserve">  </w:t>
      </w:r>
      <w:r w:rsidRPr="00F548CC">
        <w:rPr>
          <w:rFonts w:ascii="Times New Roman" w:hAnsi="Times New Roman" w:cs="Times New Roman"/>
        </w:rPr>
        <w:t>de</w:t>
      </w:r>
      <w:r w:rsidRPr="00F548CC">
        <w:rPr>
          <w:rFonts w:ascii="Times New Roman" w:hAnsi="Times New Roman" w:cs="Times New Roman"/>
          <w:spacing w:val="28"/>
        </w:rPr>
        <w:t xml:space="preserve">  </w:t>
      </w:r>
      <w:r w:rsidRPr="00F548CC">
        <w:rPr>
          <w:rFonts w:ascii="Times New Roman" w:hAnsi="Times New Roman" w:cs="Times New Roman"/>
        </w:rPr>
        <w:t>proveedores.</w:t>
      </w:r>
      <w:r w:rsidRPr="00F548CC">
        <w:rPr>
          <w:rFonts w:ascii="Times New Roman" w:hAnsi="Times New Roman" w:cs="Times New Roman"/>
          <w:spacing w:val="30"/>
        </w:rPr>
        <w:t xml:space="preserve">  </w:t>
      </w:r>
      <w:r w:rsidRPr="00F548CC">
        <w:rPr>
          <w:rFonts w:ascii="Times New Roman" w:hAnsi="Times New Roman" w:cs="Times New Roman"/>
        </w:rPr>
        <w:t>Ese</w:t>
      </w:r>
      <w:r w:rsidRPr="00F548CC">
        <w:rPr>
          <w:rFonts w:ascii="Times New Roman" w:hAnsi="Times New Roman" w:cs="Times New Roman"/>
          <w:spacing w:val="28"/>
        </w:rPr>
        <w:t xml:space="preserve">  </w:t>
      </w:r>
      <w:r w:rsidRPr="00F548CC">
        <w:rPr>
          <w:rFonts w:ascii="Times New Roman" w:hAnsi="Times New Roman" w:cs="Times New Roman"/>
        </w:rPr>
        <w:t>cumplimiento</w:t>
      </w:r>
      <w:r w:rsidRPr="00F548CC">
        <w:rPr>
          <w:rFonts w:ascii="Times New Roman" w:hAnsi="Times New Roman" w:cs="Times New Roman"/>
          <w:spacing w:val="28"/>
        </w:rPr>
        <w:t xml:space="preserve">  </w:t>
      </w:r>
      <w:r w:rsidRPr="00F548CC">
        <w:rPr>
          <w:rFonts w:ascii="Times New Roman" w:hAnsi="Times New Roman" w:cs="Times New Roman"/>
        </w:rPr>
        <w:t>debe</w:t>
      </w:r>
      <w:r w:rsidRPr="00F548CC">
        <w:rPr>
          <w:rFonts w:ascii="Times New Roman" w:hAnsi="Times New Roman" w:cs="Times New Roman"/>
          <w:spacing w:val="28"/>
        </w:rPr>
        <w:t xml:space="preserve">  </w:t>
      </w:r>
      <w:r w:rsidRPr="00F548CC">
        <w:rPr>
          <w:rFonts w:ascii="Times New Roman" w:hAnsi="Times New Roman" w:cs="Times New Roman"/>
          <w:spacing w:val="-5"/>
        </w:rPr>
        <w:t xml:space="preserve">ser </w:t>
      </w:r>
      <w:r w:rsidRPr="00F548CC">
        <w:rPr>
          <w:rFonts w:ascii="Times New Roman" w:hAnsi="Times New Roman" w:cs="Times New Roman"/>
        </w:rPr>
        <w:t>acreditado periódicamente. Adicionalmente, la reglamentación establece límites y condiciones para la utilización de bienes importados.</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ab/>
        <w:t xml:space="preserve">Que en cuanto a la dimensión local, la propia Ley </w:t>
      </w:r>
      <w:r w:rsidR="00407E5C">
        <w:rPr>
          <w:rFonts w:ascii="Times New Roman" w:hAnsi="Times New Roman" w:cs="Times New Roman"/>
        </w:rPr>
        <w:t xml:space="preserve">Nacional </w:t>
      </w:r>
      <w:r w:rsidRPr="00F548CC">
        <w:rPr>
          <w:rFonts w:ascii="Times New Roman" w:hAnsi="Times New Roman" w:cs="Times New Roman"/>
        </w:rPr>
        <w:t>N° 27.742 invita expresamente a las provincias y</w:t>
      </w:r>
      <w:r w:rsidRPr="00F548CC">
        <w:rPr>
          <w:rFonts w:ascii="Times New Roman" w:hAnsi="Times New Roman" w:cs="Times New Roman"/>
          <w:spacing w:val="-3"/>
        </w:rPr>
        <w:t xml:space="preserve"> </w:t>
      </w:r>
      <w:r w:rsidRPr="00F548CC">
        <w:rPr>
          <w:rFonts w:ascii="Times New Roman" w:hAnsi="Times New Roman" w:cs="Times New Roman"/>
        </w:rPr>
        <w:t>a</w:t>
      </w:r>
      <w:r w:rsidRPr="00F548CC">
        <w:rPr>
          <w:rFonts w:ascii="Times New Roman" w:hAnsi="Times New Roman" w:cs="Times New Roman"/>
          <w:spacing w:val="-2"/>
        </w:rPr>
        <w:t xml:space="preserve"> </w:t>
      </w:r>
      <w:r w:rsidRPr="00F548CC">
        <w:rPr>
          <w:rFonts w:ascii="Times New Roman" w:hAnsi="Times New Roman" w:cs="Times New Roman"/>
        </w:rPr>
        <w:t>la Ciudad Autónoma de Buenos Aires a</w:t>
      </w:r>
      <w:r w:rsidRPr="00F548CC">
        <w:rPr>
          <w:rFonts w:ascii="Times New Roman" w:hAnsi="Times New Roman" w:cs="Times New Roman"/>
          <w:spacing w:val="-2"/>
        </w:rPr>
        <w:t xml:space="preserve"> </w:t>
      </w:r>
      <w:r w:rsidRPr="00F548CC">
        <w:rPr>
          <w:rFonts w:ascii="Times New Roman" w:hAnsi="Times New Roman" w:cs="Times New Roman"/>
        </w:rPr>
        <w:t>adherir</w:t>
      </w:r>
      <w:r w:rsidRPr="00F548CC">
        <w:rPr>
          <w:rFonts w:ascii="Times New Roman" w:hAnsi="Times New Roman" w:cs="Times New Roman"/>
          <w:spacing w:val="-2"/>
        </w:rPr>
        <w:t xml:space="preserve"> </w:t>
      </w:r>
      <w:r w:rsidRPr="00F548CC">
        <w:rPr>
          <w:rFonts w:ascii="Times New Roman" w:hAnsi="Times New Roman" w:cs="Times New Roman"/>
        </w:rPr>
        <w:t>al RIGI</w:t>
      </w:r>
      <w:r w:rsidRPr="00F548CC">
        <w:rPr>
          <w:rFonts w:ascii="Times New Roman" w:hAnsi="Times New Roman" w:cs="Times New Roman"/>
          <w:spacing w:val="-2"/>
        </w:rPr>
        <w:t xml:space="preserve"> </w:t>
      </w:r>
      <w:r w:rsidRPr="00F548CC">
        <w:rPr>
          <w:rFonts w:ascii="Times New Roman" w:hAnsi="Times New Roman" w:cs="Times New Roman"/>
        </w:rPr>
        <w:t>en</w:t>
      </w:r>
      <w:r w:rsidRPr="00F548CC">
        <w:rPr>
          <w:rFonts w:ascii="Times New Roman" w:hAnsi="Times New Roman" w:cs="Times New Roman"/>
          <w:spacing w:val="-2"/>
        </w:rPr>
        <w:t xml:space="preserve"> </w:t>
      </w:r>
      <w:r w:rsidRPr="00F548CC">
        <w:rPr>
          <w:rFonts w:ascii="Times New Roman" w:hAnsi="Times New Roman" w:cs="Times New Roman"/>
        </w:rPr>
        <w:t>todos</w:t>
      </w:r>
      <w:r w:rsidRPr="00F548CC">
        <w:rPr>
          <w:rFonts w:ascii="Times New Roman" w:hAnsi="Times New Roman" w:cs="Times New Roman"/>
          <w:spacing w:val="-3"/>
        </w:rPr>
        <w:t xml:space="preserve"> </w:t>
      </w:r>
      <w:r w:rsidRPr="00F548CC">
        <w:rPr>
          <w:rFonts w:ascii="Times New Roman" w:hAnsi="Times New Roman" w:cs="Times New Roman"/>
        </w:rPr>
        <w:t xml:space="preserve">sus términos y condiciones. El avance del RIGI a nivel federal ya es un hecho: Catamarca, Córdoba, Corrientes, Chaco, Chubut, Entre Ríos, Jujuy, Mendoza, Misiones, </w:t>
      </w:r>
      <w:proofErr w:type="spellStart"/>
      <w:r w:rsidRPr="00F548CC">
        <w:rPr>
          <w:rFonts w:ascii="Times New Roman" w:hAnsi="Times New Roman" w:cs="Times New Roman"/>
        </w:rPr>
        <w:t>Neuquen</w:t>
      </w:r>
      <w:proofErr w:type="spellEnd"/>
      <w:r w:rsidRPr="00F548CC">
        <w:rPr>
          <w:rFonts w:ascii="Times New Roman" w:hAnsi="Times New Roman" w:cs="Times New Roman"/>
        </w:rPr>
        <w:t>, Río Negro, Salta, San Juan, San Luis, Santa Cruz y Tucumán han adherido al RIGI</w:t>
      </w:r>
      <w:r w:rsidRPr="00F548CC">
        <w:rPr>
          <w:rFonts w:ascii="Times New Roman" w:hAnsi="Times New Roman" w:cs="Times New Roman"/>
          <w:vertAlign w:val="superscript"/>
        </w:rPr>
        <w:t>1</w:t>
      </w:r>
      <w:r w:rsidRPr="00F548CC">
        <w:rPr>
          <w:rFonts w:ascii="Times New Roman" w:hAnsi="Times New Roman" w:cs="Times New Roman"/>
        </w:rPr>
        <w:t>. La Ciudad Autónoma de Buenos Aires no debería quedar al margen</w:t>
      </w:r>
      <w:r w:rsidRPr="00F548CC">
        <w:rPr>
          <w:rFonts w:ascii="Times New Roman" w:hAnsi="Times New Roman" w:cs="Times New Roman"/>
          <w:spacing w:val="-1"/>
        </w:rPr>
        <w:t xml:space="preserve"> </w:t>
      </w:r>
      <w:r w:rsidRPr="00F548CC">
        <w:rPr>
          <w:rFonts w:ascii="Times New Roman" w:hAnsi="Times New Roman" w:cs="Times New Roman"/>
        </w:rPr>
        <w:t>de</w:t>
      </w:r>
      <w:r w:rsidRPr="00F548CC">
        <w:rPr>
          <w:rFonts w:ascii="Times New Roman" w:hAnsi="Times New Roman" w:cs="Times New Roman"/>
          <w:spacing w:val="-1"/>
        </w:rPr>
        <w:t xml:space="preserve"> </w:t>
      </w:r>
      <w:r w:rsidRPr="00F548CC">
        <w:rPr>
          <w:rFonts w:ascii="Times New Roman" w:hAnsi="Times New Roman" w:cs="Times New Roman"/>
        </w:rPr>
        <w:t>un</w:t>
      </w:r>
      <w:r w:rsidRPr="00F548CC">
        <w:rPr>
          <w:rFonts w:ascii="Times New Roman" w:hAnsi="Times New Roman" w:cs="Times New Roman"/>
          <w:spacing w:val="-1"/>
        </w:rPr>
        <w:t xml:space="preserve"> </w:t>
      </w:r>
      <w:r w:rsidRPr="00F548CC">
        <w:rPr>
          <w:rFonts w:ascii="Times New Roman" w:hAnsi="Times New Roman" w:cs="Times New Roman"/>
        </w:rPr>
        <w:t>instrumento que</w:t>
      </w:r>
      <w:r w:rsidRPr="00F548CC">
        <w:rPr>
          <w:rFonts w:ascii="Times New Roman" w:hAnsi="Times New Roman" w:cs="Times New Roman"/>
          <w:spacing w:val="-1"/>
        </w:rPr>
        <w:t xml:space="preserve"> </w:t>
      </w:r>
      <w:r w:rsidRPr="00F548CC">
        <w:rPr>
          <w:rFonts w:ascii="Times New Roman" w:hAnsi="Times New Roman" w:cs="Times New Roman"/>
        </w:rPr>
        <w:t>otras</w:t>
      </w:r>
      <w:r w:rsidRPr="00F548CC">
        <w:rPr>
          <w:rFonts w:ascii="Times New Roman" w:hAnsi="Times New Roman" w:cs="Times New Roman"/>
          <w:spacing w:val="-1"/>
        </w:rPr>
        <w:t xml:space="preserve"> </w:t>
      </w:r>
      <w:r w:rsidRPr="00F548CC">
        <w:rPr>
          <w:rFonts w:ascii="Times New Roman" w:hAnsi="Times New Roman" w:cs="Times New Roman"/>
        </w:rPr>
        <w:t>jurisdicciones</w:t>
      </w:r>
      <w:r w:rsidRPr="00F548CC">
        <w:rPr>
          <w:rFonts w:ascii="Times New Roman" w:hAnsi="Times New Roman" w:cs="Times New Roman"/>
          <w:spacing w:val="-1"/>
        </w:rPr>
        <w:t xml:space="preserve"> </w:t>
      </w:r>
      <w:r w:rsidRPr="00F548CC">
        <w:rPr>
          <w:rFonts w:ascii="Times New Roman" w:hAnsi="Times New Roman" w:cs="Times New Roman"/>
        </w:rPr>
        <w:t>ya han</w:t>
      </w:r>
      <w:r w:rsidRPr="00F548CC">
        <w:rPr>
          <w:rFonts w:ascii="Times New Roman" w:hAnsi="Times New Roman" w:cs="Times New Roman"/>
          <w:spacing w:val="-1"/>
        </w:rPr>
        <w:t xml:space="preserve"> </w:t>
      </w:r>
      <w:r w:rsidRPr="00F548CC">
        <w:rPr>
          <w:rFonts w:ascii="Times New Roman" w:hAnsi="Times New Roman" w:cs="Times New Roman"/>
        </w:rPr>
        <w:t>decidido</w:t>
      </w:r>
      <w:r w:rsidRPr="00F548CC">
        <w:rPr>
          <w:rFonts w:ascii="Times New Roman" w:hAnsi="Times New Roman" w:cs="Times New Roman"/>
          <w:spacing w:val="-5"/>
        </w:rPr>
        <w:t xml:space="preserve"> </w:t>
      </w:r>
      <w:r w:rsidRPr="00F548CC">
        <w:rPr>
          <w:rFonts w:ascii="Times New Roman" w:hAnsi="Times New Roman" w:cs="Times New Roman"/>
        </w:rPr>
        <w:t>incorporar para mejorar su capacidad de atraer inversiones, dinamizar su actividad económica, generar empleo y ampliar sus perspectivas de desarrollo.</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Que el RIGI ha dejado de ser una mera previsión normativa para convertirse en una herramienta efectivamente operativa. Mediante el Decreto N° 105/2026, el Poder Ejecutivo Nacional prorrogó por única vez el plazo para adherirse al</w:t>
      </w:r>
      <w:r w:rsidRPr="00F548CC">
        <w:rPr>
          <w:rFonts w:ascii="Times New Roman" w:hAnsi="Times New Roman" w:cs="Times New Roman"/>
          <w:spacing w:val="80"/>
        </w:rPr>
        <w:t xml:space="preserve"> </w:t>
      </w:r>
      <w:r w:rsidRPr="00F548CC">
        <w:rPr>
          <w:rFonts w:ascii="Times New Roman" w:hAnsi="Times New Roman" w:cs="Times New Roman"/>
        </w:rPr>
        <w:t>régimen por un año a contar desde el 8 de julio de 2026, destacando que las tareas de estructuración, evaluación y decisión de proyectos de gran escala requieren horizontes temporales acordes con su magnitud. En igual sentido, la información oficial difundida por el Gobierno Nacional da cuenta de que, desde la reglamentación operativa del régimen, ya fueron aprobados diez proyectos por un total de USD 25.479 millones</w:t>
      </w:r>
      <w:r w:rsidRPr="00F548CC">
        <w:rPr>
          <w:rFonts w:ascii="Times New Roman" w:hAnsi="Times New Roman" w:cs="Times New Roman"/>
          <w:vertAlign w:val="superscript"/>
        </w:rPr>
        <w:t>2</w:t>
      </w:r>
      <w:r w:rsidRPr="00F548CC">
        <w:rPr>
          <w:rFonts w:ascii="Times New Roman" w:hAnsi="Times New Roman" w:cs="Times New Roman"/>
        </w:rPr>
        <w:t>.</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Que la adhesión de la Ciudad Autónoma de</w:t>
      </w:r>
      <w:r w:rsidRPr="00F548CC">
        <w:rPr>
          <w:rFonts w:ascii="Times New Roman" w:hAnsi="Times New Roman" w:cs="Times New Roman"/>
          <w:spacing w:val="40"/>
        </w:rPr>
        <w:t xml:space="preserve"> </w:t>
      </w:r>
      <w:r w:rsidRPr="00F548CC">
        <w:rPr>
          <w:rFonts w:ascii="Times New Roman" w:hAnsi="Times New Roman" w:cs="Times New Roman"/>
        </w:rPr>
        <w:t xml:space="preserve">Buenos Aires adquiere particular relevancia si se considera que su entramado económico presenta afinidad </w:t>
      </w:r>
      <w:r w:rsidRPr="00F548CC">
        <w:rPr>
          <w:rFonts w:ascii="Times New Roman" w:hAnsi="Times New Roman" w:cs="Times New Roman"/>
        </w:rPr>
        <w:lastRenderedPageBreak/>
        <w:t>directa con varios de los sectores expresamente comprendidos por la ley, en particular turismo, infraestructura y tecnología. A ello se agrega la gravitación de la Ciudad como plaza de servicios profesionales, financieros, corporativos y tecnológicos, lo que la posiciona como una jurisdicción apta para captar y acompañar eslabones estratégicos vinculados a la estructuración, administración, soporte y ejecución de grandes proyectos de inversión. Esta potencialidad no debe ser resignada por falta de adecuación normativa local. No adecuar el marco normativo local frente a esa oportunidad equivaldría, en los hechos, a resignar capacidad de crecimiento, innovación y generación de empleo para los porteños.</w:t>
      </w:r>
    </w:p>
    <w:p w:rsidR="00AC5A8A" w:rsidRPr="00F548CC" w:rsidRDefault="00AC5A8A"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rPr>
        <w:t>Que en el entendimiento de que la adhesión al Régimen de Incentivo</w:t>
      </w:r>
      <w:r w:rsidRPr="00F548CC">
        <w:rPr>
          <w:rFonts w:ascii="Times New Roman" w:hAnsi="Times New Roman" w:cs="Times New Roman"/>
          <w:spacing w:val="40"/>
        </w:rPr>
        <w:t xml:space="preserve"> </w:t>
      </w:r>
      <w:r w:rsidRPr="00F548CC">
        <w:rPr>
          <w:rFonts w:ascii="Times New Roman" w:hAnsi="Times New Roman" w:cs="Times New Roman"/>
        </w:rPr>
        <w:t>para</w:t>
      </w:r>
      <w:r w:rsidRPr="00F548CC">
        <w:rPr>
          <w:rFonts w:ascii="Times New Roman" w:hAnsi="Times New Roman" w:cs="Times New Roman"/>
          <w:spacing w:val="40"/>
        </w:rPr>
        <w:t xml:space="preserve"> </w:t>
      </w:r>
      <w:r w:rsidRPr="00F548CC">
        <w:rPr>
          <w:rFonts w:ascii="Times New Roman" w:hAnsi="Times New Roman" w:cs="Times New Roman"/>
        </w:rPr>
        <w:t>Grandes</w:t>
      </w:r>
      <w:r w:rsidRPr="00F548CC">
        <w:rPr>
          <w:rFonts w:ascii="Times New Roman" w:hAnsi="Times New Roman" w:cs="Times New Roman"/>
          <w:spacing w:val="40"/>
        </w:rPr>
        <w:t xml:space="preserve"> </w:t>
      </w:r>
      <w:r w:rsidRPr="00F548CC">
        <w:rPr>
          <w:rFonts w:ascii="Times New Roman" w:hAnsi="Times New Roman" w:cs="Times New Roman"/>
        </w:rPr>
        <w:t>Inversiones</w:t>
      </w:r>
      <w:r w:rsidRPr="00F548CC">
        <w:rPr>
          <w:rFonts w:ascii="Times New Roman" w:hAnsi="Times New Roman" w:cs="Times New Roman"/>
          <w:spacing w:val="40"/>
        </w:rPr>
        <w:t xml:space="preserve"> </w:t>
      </w:r>
      <w:r w:rsidRPr="00F548CC">
        <w:rPr>
          <w:rFonts w:ascii="Times New Roman" w:hAnsi="Times New Roman" w:cs="Times New Roman"/>
        </w:rPr>
        <w:t>constituye</w:t>
      </w:r>
      <w:r w:rsidRPr="00F548CC">
        <w:rPr>
          <w:rFonts w:ascii="Times New Roman" w:hAnsi="Times New Roman" w:cs="Times New Roman"/>
          <w:spacing w:val="40"/>
        </w:rPr>
        <w:t xml:space="preserve"> </w:t>
      </w:r>
      <w:r w:rsidRPr="00F548CC">
        <w:rPr>
          <w:rFonts w:ascii="Times New Roman" w:hAnsi="Times New Roman" w:cs="Times New Roman"/>
        </w:rPr>
        <w:t>una</w:t>
      </w:r>
      <w:r w:rsidRPr="00F548CC">
        <w:rPr>
          <w:rFonts w:ascii="Times New Roman" w:hAnsi="Times New Roman" w:cs="Times New Roman"/>
          <w:spacing w:val="40"/>
        </w:rPr>
        <w:t xml:space="preserve"> </w:t>
      </w:r>
      <w:r w:rsidRPr="00F548CC">
        <w:rPr>
          <w:rFonts w:ascii="Times New Roman" w:hAnsi="Times New Roman" w:cs="Times New Roman"/>
        </w:rPr>
        <w:t>decisión</w:t>
      </w:r>
      <w:r w:rsidRPr="00F548CC">
        <w:rPr>
          <w:rFonts w:ascii="Times New Roman" w:hAnsi="Times New Roman" w:cs="Times New Roman"/>
          <w:spacing w:val="40"/>
        </w:rPr>
        <w:t xml:space="preserve"> </w:t>
      </w:r>
      <w:r w:rsidRPr="00F548CC">
        <w:rPr>
          <w:rFonts w:ascii="Times New Roman" w:hAnsi="Times New Roman" w:cs="Times New Roman"/>
        </w:rPr>
        <w:t>consistente</w:t>
      </w:r>
      <w:r w:rsidRPr="00F548CC">
        <w:rPr>
          <w:rFonts w:ascii="Times New Roman" w:hAnsi="Times New Roman" w:cs="Times New Roman"/>
          <w:spacing w:val="40"/>
        </w:rPr>
        <w:t xml:space="preserve"> </w:t>
      </w:r>
      <w:r w:rsidRPr="00F548CC">
        <w:rPr>
          <w:rFonts w:ascii="Times New Roman" w:hAnsi="Times New Roman" w:cs="Times New Roman"/>
        </w:rPr>
        <w:t>con</w:t>
      </w:r>
      <w:r w:rsidRPr="00F548CC">
        <w:rPr>
          <w:rFonts w:ascii="Times New Roman" w:hAnsi="Times New Roman" w:cs="Times New Roman"/>
          <w:spacing w:val="40"/>
        </w:rPr>
        <w:t xml:space="preserve"> </w:t>
      </w:r>
      <w:r w:rsidRPr="00F548CC">
        <w:rPr>
          <w:rFonts w:ascii="Times New Roman" w:hAnsi="Times New Roman" w:cs="Times New Roman"/>
        </w:rPr>
        <w:t>la necesidad de promover inversión, empleo, innovación, infraestructura, actividad económica y articulación federal en un marco de reglas claras y estabilidad jurídica</w:t>
      </w:r>
      <w:r w:rsidR="004A6D86" w:rsidRPr="00F548CC">
        <w:rPr>
          <w:rFonts w:ascii="Times New Roman" w:hAnsi="Times New Roman" w:cs="Times New Roman"/>
        </w:rPr>
        <w:t>.</w:t>
      </w:r>
    </w:p>
    <w:p w:rsidR="003D4A02" w:rsidRPr="00F548CC" w:rsidRDefault="003D4A02" w:rsidP="00F548CC">
      <w:pPr>
        <w:pStyle w:val="Textoindependiente"/>
        <w:spacing w:line="360" w:lineRule="auto"/>
        <w:ind w:left="259" w:right="256" w:firstLine="1560"/>
        <w:jc w:val="both"/>
        <w:rPr>
          <w:rFonts w:ascii="Times New Roman" w:hAnsi="Times New Roman" w:cs="Times New Roman"/>
        </w:rPr>
      </w:pPr>
      <w:r w:rsidRPr="00F548CC">
        <w:rPr>
          <w:rFonts w:ascii="Times New Roman" w:hAnsi="Times New Roman" w:cs="Times New Roman"/>
          <w:lang w:val="es-MX"/>
        </w:rPr>
        <w:t xml:space="preserve">Por lo expuesto, esta Comisión de </w:t>
      </w:r>
      <w:r w:rsidR="001F507C" w:rsidRPr="00F548CC">
        <w:rPr>
          <w:rFonts w:ascii="Times New Roman" w:hAnsi="Times New Roman" w:cs="Times New Roman"/>
          <w:lang w:val="es-MX"/>
        </w:rPr>
        <w:t xml:space="preserve">Desarrollo Económico y MERCOSUR </w:t>
      </w:r>
      <w:r w:rsidRPr="00F548CC">
        <w:rPr>
          <w:rFonts w:ascii="Times New Roman" w:hAnsi="Times New Roman" w:cs="Times New Roman"/>
          <w:lang w:val="es-MX"/>
        </w:rPr>
        <w:t xml:space="preserve"> aconseja la sanción de la siguiente</w:t>
      </w:r>
      <w:r w:rsidR="006F6E03" w:rsidRPr="00F548CC">
        <w:rPr>
          <w:rFonts w:ascii="Times New Roman" w:hAnsi="Times New Roman" w:cs="Times New Roman"/>
          <w:lang w:val="es-MX"/>
        </w:rPr>
        <w:t>:</w:t>
      </w:r>
    </w:p>
    <w:p w:rsidR="003D4A02" w:rsidRPr="00F548CC" w:rsidRDefault="003D4A02" w:rsidP="00F548CC">
      <w:pPr>
        <w:spacing w:line="360" w:lineRule="auto"/>
        <w:rPr>
          <w:szCs w:val="24"/>
          <w:lang w:val="es-MX"/>
        </w:rPr>
      </w:pPr>
    </w:p>
    <w:p w:rsidR="003D4A02" w:rsidRPr="00F548CC" w:rsidRDefault="003D4A02" w:rsidP="00F548CC">
      <w:pPr>
        <w:spacing w:line="360" w:lineRule="auto"/>
        <w:rPr>
          <w:szCs w:val="24"/>
          <w:lang w:val="es-MX"/>
        </w:rPr>
      </w:pPr>
    </w:p>
    <w:p w:rsidR="003D4A02" w:rsidRPr="00F548CC" w:rsidRDefault="003D4A02" w:rsidP="00F548CC">
      <w:pPr>
        <w:spacing w:line="360" w:lineRule="auto"/>
        <w:jc w:val="center"/>
        <w:rPr>
          <w:b/>
          <w:szCs w:val="24"/>
          <w:lang w:val="es-MX"/>
        </w:rPr>
      </w:pPr>
      <w:bookmarkStart w:id="0" w:name="DLey"/>
      <w:bookmarkEnd w:id="0"/>
      <w:r w:rsidRPr="00F548CC">
        <w:rPr>
          <w:b/>
          <w:szCs w:val="24"/>
          <w:lang w:val="es-MX"/>
        </w:rPr>
        <w:t>LEY</w:t>
      </w:r>
    </w:p>
    <w:p w:rsidR="003D4A02" w:rsidRPr="00F548CC" w:rsidRDefault="003D4A02" w:rsidP="00F548CC">
      <w:pPr>
        <w:spacing w:line="360" w:lineRule="auto"/>
        <w:rPr>
          <w:b/>
          <w:szCs w:val="24"/>
          <w:lang w:val="es-MX"/>
        </w:rPr>
      </w:pPr>
    </w:p>
    <w:p w:rsidR="003D4A02" w:rsidRPr="00F548CC" w:rsidRDefault="003D4A02" w:rsidP="00F548CC">
      <w:pPr>
        <w:spacing w:line="360" w:lineRule="auto"/>
        <w:rPr>
          <w:szCs w:val="24"/>
          <w:lang w:val="es-MX"/>
        </w:rPr>
      </w:pPr>
    </w:p>
    <w:p w:rsidR="001F507C" w:rsidRPr="00F548CC" w:rsidRDefault="001F507C" w:rsidP="00F548CC">
      <w:pPr>
        <w:pStyle w:val="Textoindependiente"/>
        <w:spacing w:line="360" w:lineRule="auto"/>
        <w:ind w:right="255"/>
        <w:jc w:val="both"/>
        <w:rPr>
          <w:rFonts w:ascii="Times New Roman" w:hAnsi="Times New Roman" w:cs="Times New Roman"/>
        </w:rPr>
      </w:pPr>
      <w:r w:rsidRPr="00F548CC">
        <w:rPr>
          <w:rFonts w:ascii="Times New Roman" w:hAnsi="Times New Roman" w:cs="Times New Roman"/>
          <w:b/>
        </w:rPr>
        <w:t>Artículo 1°.-</w:t>
      </w:r>
      <w:r w:rsidR="00BE4F5B" w:rsidRPr="00F548CC">
        <w:rPr>
          <w:rFonts w:ascii="Times New Roman" w:hAnsi="Times New Roman" w:cs="Times New Roman"/>
          <w:b/>
        </w:rPr>
        <w:t xml:space="preserve"> </w:t>
      </w:r>
      <w:r w:rsidR="00407E5C">
        <w:rPr>
          <w:rFonts w:ascii="Times New Roman" w:hAnsi="Times New Roman" w:cs="Times New Roman"/>
        </w:rPr>
        <w:t>La Ciudad Autónoma de B</w:t>
      </w:r>
      <w:r w:rsidR="00BE4F5B" w:rsidRPr="00F548CC">
        <w:rPr>
          <w:rFonts w:ascii="Times New Roman" w:hAnsi="Times New Roman" w:cs="Times New Roman"/>
        </w:rPr>
        <w:t>uenos Aires adhie</w:t>
      </w:r>
      <w:r w:rsidR="00451B11" w:rsidRPr="00F548CC">
        <w:rPr>
          <w:rFonts w:ascii="Times New Roman" w:hAnsi="Times New Roman" w:cs="Times New Roman"/>
        </w:rPr>
        <w:t>re</w:t>
      </w:r>
      <w:r w:rsidR="00451B11" w:rsidRPr="00F548CC">
        <w:rPr>
          <w:rFonts w:ascii="Times New Roman" w:hAnsi="Times New Roman" w:cs="Times New Roman"/>
          <w:b/>
        </w:rPr>
        <w:t xml:space="preserve"> </w:t>
      </w:r>
      <w:r w:rsidRPr="00F548CC">
        <w:rPr>
          <w:rFonts w:ascii="Times New Roman" w:hAnsi="Times New Roman" w:cs="Times New Roman"/>
        </w:rPr>
        <w:t>a las disposiciones contenidas en el Título VII “Régimen</w:t>
      </w:r>
      <w:r w:rsidRPr="00F548CC">
        <w:rPr>
          <w:rFonts w:ascii="Times New Roman" w:hAnsi="Times New Roman" w:cs="Times New Roman"/>
          <w:spacing w:val="40"/>
        </w:rPr>
        <w:t xml:space="preserve"> </w:t>
      </w:r>
      <w:r w:rsidRPr="00F548CC">
        <w:rPr>
          <w:rFonts w:ascii="Times New Roman" w:hAnsi="Times New Roman" w:cs="Times New Roman"/>
        </w:rPr>
        <w:t>de Incentivos para Grandes Inversiones” de la Ley Nacional N° 27.742 - Ley de Bases y Puntos de Partida para la Libertad de los Argentinos.</w:t>
      </w:r>
    </w:p>
    <w:p w:rsidR="001F507C" w:rsidRPr="00F548CC" w:rsidRDefault="001F507C" w:rsidP="00F548CC">
      <w:pPr>
        <w:spacing w:line="360" w:lineRule="auto"/>
        <w:jc w:val="left"/>
        <w:rPr>
          <w:b/>
          <w:szCs w:val="24"/>
        </w:rPr>
      </w:pPr>
    </w:p>
    <w:p w:rsidR="003D4A02" w:rsidRPr="00F548CC" w:rsidRDefault="001F507C" w:rsidP="00F548CC">
      <w:pPr>
        <w:spacing w:line="360" w:lineRule="auto"/>
        <w:jc w:val="left"/>
        <w:rPr>
          <w:spacing w:val="-4"/>
          <w:szCs w:val="24"/>
        </w:rPr>
      </w:pPr>
      <w:r w:rsidRPr="00F548CC">
        <w:rPr>
          <w:b/>
          <w:szCs w:val="24"/>
        </w:rPr>
        <w:t>Artículo</w:t>
      </w:r>
      <w:r w:rsidRPr="00F548CC">
        <w:rPr>
          <w:b/>
          <w:spacing w:val="-2"/>
          <w:szCs w:val="24"/>
        </w:rPr>
        <w:t xml:space="preserve"> </w:t>
      </w:r>
      <w:r w:rsidRPr="00F548CC">
        <w:rPr>
          <w:b/>
          <w:szCs w:val="24"/>
        </w:rPr>
        <w:t>2°.-</w:t>
      </w:r>
      <w:r w:rsidRPr="00F548CC">
        <w:rPr>
          <w:b/>
          <w:spacing w:val="-1"/>
          <w:szCs w:val="24"/>
        </w:rPr>
        <w:t xml:space="preserve"> </w:t>
      </w:r>
      <w:r w:rsidRPr="00F548CC">
        <w:rPr>
          <w:szCs w:val="24"/>
        </w:rPr>
        <w:t>Comuníquese,</w:t>
      </w:r>
      <w:r w:rsidRPr="00F548CC">
        <w:rPr>
          <w:spacing w:val="-3"/>
          <w:szCs w:val="24"/>
        </w:rPr>
        <w:t xml:space="preserve"> </w:t>
      </w:r>
      <w:r w:rsidRPr="00F548CC">
        <w:rPr>
          <w:spacing w:val="-4"/>
          <w:szCs w:val="24"/>
        </w:rPr>
        <w:t>etc.</w:t>
      </w:r>
    </w:p>
    <w:p w:rsidR="001F507C" w:rsidRPr="00F548CC" w:rsidRDefault="001F507C" w:rsidP="00F548CC">
      <w:pPr>
        <w:spacing w:line="360" w:lineRule="auto"/>
        <w:rPr>
          <w:spacing w:val="-4"/>
          <w:szCs w:val="24"/>
        </w:rPr>
      </w:pPr>
    </w:p>
    <w:p w:rsidR="006F6E03" w:rsidRPr="00F548CC" w:rsidRDefault="006F6E03" w:rsidP="00F548CC">
      <w:pPr>
        <w:spacing w:line="360" w:lineRule="auto"/>
        <w:rPr>
          <w:szCs w:val="24"/>
          <w:lang w:val="es-MX"/>
        </w:rPr>
      </w:pPr>
    </w:p>
    <w:p w:rsidR="00227E53" w:rsidRPr="00F548CC" w:rsidRDefault="003D4A02" w:rsidP="00F548CC">
      <w:pPr>
        <w:spacing w:line="360" w:lineRule="auto"/>
        <w:rPr>
          <w:szCs w:val="24"/>
          <w:lang w:val="es-MX"/>
        </w:rPr>
      </w:pPr>
      <w:r w:rsidRPr="00F548CC">
        <w:rPr>
          <w:szCs w:val="24"/>
          <w:lang w:val="es-MX"/>
        </w:rPr>
        <w:t xml:space="preserve">Sala de </w:t>
      </w:r>
      <w:r w:rsidR="00AC5A8A" w:rsidRPr="00F548CC">
        <w:rPr>
          <w:szCs w:val="24"/>
          <w:lang w:val="es-MX"/>
        </w:rPr>
        <w:t xml:space="preserve">la </w:t>
      </w:r>
      <w:r w:rsidR="006F6E03" w:rsidRPr="00F548CC">
        <w:rPr>
          <w:szCs w:val="24"/>
          <w:lang w:val="es-MX"/>
        </w:rPr>
        <w:t>Comisión</w:t>
      </w:r>
      <w:r w:rsidR="00227E53" w:rsidRPr="00F548CC">
        <w:rPr>
          <w:szCs w:val="24"/>
          <w:lang w:val="es-MX"/>
        </w:rPr>
        <w:t>: 4 de mayo de 2026.</w:t>
      </w:r>
    </w:p>
    <w:p w:rsidR="00227E53" w:rsidRPr="00F548CC" w:rsidRDefault="00227E53" w:rsidP="00F548CC">
      <w:pPr>
        <w:spacing w:line="360" w:lineRule="auto"/>
        <w:rPr>
          <w:szCs w:val="24"/>
          <w:lang w:val="es-MX"/>
        </w:rPr>
      </w:pPr>
    </w:p>
    <w:p w:rsidR="00227E53" w:rsidRPr="00F548CC" w:rsidRDefault="00227E53" w:rsidP="00F548CC">
      <w:pPr>
        <w:spacing w:line="360" w:lineRule="auto"/>
        <w:rPr>
          <w:b/>
          <w:szCs w:val="24"/>
          <w:lang w:val="es-MX"/>
        </w:rPr>
      </w:pPr>
    </w:p>
    <w:p w:rsidR="00227E53" w:rsidRPr="00F548CC" w:rsidRDefault="00227E53" w:rsidP="00F548CC">
      <w:pPr>
        <w:spacing w:line="360" w:lineRule="auto"/>
        <w:rPr>
          <w:b/>
          <w:szCs w:val="24"/>
          <w:lang w:val="es-MX"/>
        </w:rPr>
      </w:pPr>
    </w:p>
    <w:p w:rsidR="00227E53" w:rsidRPr="00F548CC" w:rsidRDefault="00227E53" w:rsidP="00F548CC">
      <w:pPr>
        <w:spacing w:line="360" w:lineRule="auto"/>
        <w:rPr>
          <w:b/>
          <w:szCs w:val="24"/>
          <w:lang w:val="es-MX"/>
        </w:rPr>
      </w:pPr>
      <w:r w:rsidRPr="00F548CC">
        <w:rPr>
          <w:b/>
          <w:szCs w:val="24"/>
          <w:lang w:val="es-MX"/>
        </w:rPr>
        <w:t>COMISIÓN DE DESARROLLO ECONÓMICO Y MERCOSUR</w:t>
      </w:r>
    </w:p>
    <w:p w:rsidR="00157395" w:rsidRPr="00F548CC" w:rsidRDefault="00157395" w:rsidP="00F548CC">
      <w:pPr>
        <w:spacing w:line="360" w:lineRule="auto"/>
        <w:rPr>
          <w:szCs w:val="24"/>
          <w:lang w:val="es-MX"/>
        </w:rPr>
      </w:pPr>
    </w:p>
    <w:p w:rsidR="00035117" w:rsidRPr="00F548CC" w:rsidRDefault="00035117" w:rsidP="00F548CC">
      <w:pPr>
        <w:spacing w:line="360" w:lineRule="auto"/>
        <w:jc w:val="center"/>
        <w:rPr>
          <w:szCs w:val="24"/>
          <w:lang w:val="es-MX"/>
        </w:rPr>
      </w:pPr>
    </w:p>
    <w:p w:rsidR="00E44CBA" w:rsidRPr="00F548CC" w:rsidRDefault="00E44CBA" w:rsidP="00F548CC">
      <w:pPr>
        <w:spacing w:line="360" w:lineRule="auto"/>
        <w:jc w:val="center"/>
        <w:rPr>
          <w:szCs w:val="24"/>
          <w:lang w:val="es-MX"/>
        </w:rPr>
      </w:pPr>
    </w:p>
    <w:p w:rsidR="00A45924" w:rsidRPr="00F548CC" w:rsidRDefault="001D1E16" w:rsidP="00F548CC">
      <w:pPr>
        <w:spacing w:line="360" w:lineRule="auto"/>
        <w:ind w:left="1416" w:firstLine="708"/>
        <w:rPr>
          <w:szCs w:val="24"/>
          <w:lang w:val="es-MX"/>
        </w:rPr>
      </w:pPr>
      <w:r w:rsidRPr="00F548CC">
        <w:rPr>
          <w:szCs w:val="24"/>
          <w:lang w:val="es-MX"/>
        </w:rPr>
        <w:t xml:space="preserve">DIP. </w:t>
      </w:r>
      <w:r w:rsidR="00853926" w:rsidRPr="00F548CC">
        <w:rPr>
          <w:szCs w:val="24"/>
          <w:lang w:val="es-MX"/>
        </w:rPr>
        <w:t>SILVIA IMAS</w:t>
      </w:r>
    </w:p>
    <w:p w:rsidR="00A45924" w:rsidRPr="00F548CC" w:rsidRDefault="00A45924" w:rsidP="00F548CC">
      <w:pPr>
        <w:spacing w:line="360" w:lineRule="auto"/>
        <w:ind w:left="1416" w:firstLine="708"/>
        <w:rPr>
          <w:szCs w:val="24"/>
          <w:lang w:val="es-MX"/>
        </w:rPr>
      </w:pPr>
      <w:r w:rsidRPr="00F548CC">
        <w:rPr>
          <w:szCs w:val="24"/>
          <w:lang w:val="es-MX"/>
        </w:rPr>
        <w:t>PRESIDENTE</w:t>
      </w:r>
    </w:p>
    <w:p w:rsidR="00A45924" w:rsidRPr="00F548CC" w:rsidRDefault="00A45924" w:rsidP="00F548CC">
      <w:pPr>
        <w:spacing w:line="360" w:lineRule="auto"/>
        <w:rPr>
          <w:szCs w:val="24"/>
          <w:lang w:val="es-MX"/>
        </w:rPr>
      </w:pPr>
    </w:p>
    <w:p w:rsidR="00656C0A" w:rsidRPr="00F548CC" w:rsidRDefault="00656C0A" w:rsidP="00F548CC">
      <w:pPr>
        <w:spacing w:line="360" w:lineRule="auto"/>
        <w:rPr>
          <w:szCs w:val="24"/>
          <w:lang w:val="es-MX"/>
        </w:rPr>
      </w:pPr>
    </w:p>
    <w:p w:rsidR="00A45924" w:rsidRPr="00F548CC" w:rsidRDefault="001D1E16" w:rsidP="00F548CC">
      <w:pPr>
        <w:spacing w:line="360" w:lineRule="auto"/>
        <w:rPr>
          <w:szCs w:val="24"/>
          <w:lang w:val="es-MX"/>
        </w:rPr>
      </w:pPr>
      <w:r w:rsidRPr="00F548CC">
        <w:rPr>
          <w:szCs w:val="24"/>
          <w:lang w:val="es-MX"/>
        </w:rPr>
        <w:t xml:space="preserve">DIP. </w:t>
      </w:r>
      <w:r w:rsidR="00A45924" w:rsidRPr="00F548CC">
        <w:rPr>
          <w:szCs w:val="24"/>
          <w:lang w:val="es-MX"/>
        </w:rPr>
        <w:t xml:space="preserve">FRANCISCO CAPORICCIO </w:t>
      </w:r>
      <w:r w:rsidR="00A45924" w:rsidRPr="00F548CC">
        <w:rPr>
          <w:szCs w:val="24"/>
          <w:lang w:val="es-MX"/>
        </w:rPr>
        <w:tab/>
      </w:r>
      <w:r w:rsidR="00A45924" w:rsidRPr="00F548CC">
        <w:rPr>
          <w:szCs w:val="24"/>
          <w:lang w:val="es-MX"/>
        </w:rPr>
        <w:tab/>
      </w:r>
      <w:r w:rsidRPr="00F548CC">
        <w:rPr>
          <w:szCs w:val="24"/>
          <w:lang w:val="es-MX"/>
        </w:rPr>
        <w:t xml:space="preserve">DIP. </w:t>
      </w:r>
      <w:r w:rsidR="00A45924" w:rsidRPr="00F548CC">
        <w:rPr>
          <w:szCs w:val="24"/>
          <w:lang w:val="es-MX"/>
        </w:rPr>
        <w:t>PABLO DONATI</w:t>
      </w:r>
    </w:p>
    <w:p w:rsidR="00A45924" w:rsidRPr="00F548CC" w:rsidRDefault="00A45924" w:rsidP="00F548CC">
      <w:pPr>
        <w:spacing w:line="360" w:lineRule="auto"/>
        <w:rPr>
          <w:szCs w:val="24"/>
          <w:lang w:val="es-MX"/>
        </w:rPr>
      </w:pPr>
      <w:r w:rsidRPr="00F548CC">
        <w:rPr>
          <w:szCs w:val="24"/>
          <w:lang w:val="es-MX"/>
        </w:rPr>
        <w:t xml:space="preserve">VICEPRESIDENTE 1° </w:t>
      </w:r>
      <w:r w:rsidRPr="00F548CC">
        <w:rPr>
          <w:szCs w:val="24"/>
          <w:lang w:val="es-MX"/>
        </w:rPr>
        <w:tab/>
      </w:r>
      <w:r w:rsidRPr="00F548CC">
        <w:rPr>
          <w:szCs w:val="24"/>
          <w:lang w:val="es-MX"/>
        </w:rPr>
        <w:tab/>
      </w:r>
      <w:r w:rsidRPr="00F548CC">
        <w:rPr>
          <w:szCs w:val="24"/>
          <w:lang w:val="es-MX"/>
        </w:rPr>
        <w:tab/>
        <w:t>VICEPRESIDENTE 2°</w:t>
      </w: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r w:rsidRPr="00F548CC">
        <w:rPr>
          <w:szCs w:val="24"/>
          <w:lang w:val="es-MX"/>
        </w:rPr>
        <w:t>DIP. ALDANA CRUCITA</w:t>
      </w:r>
      <w:r w:rsidRPr="00F548CC">
        <w:rPr>
          <w:szCs w:val="24"/>
          <w:lang w:val="es-MX"/>
        </w:rPr>
        <w:tab/>
      </w:r>
      <w:r w:rsidRPr="00F548CC">
        <w:rPr>
          <w:szCs w:val="24"/>
          <w:lang w:val="es-MX"/>
        </w:rPr>
        <w:tab/>
      </w:r>
      <w:r w:rsidRPr="00F548CC">
        <w:rPr>
          <w:szCs w:val="24"/>
          <w:lang w:val="es-MX"/>
        </w:rPr>
        <w:tab/>
      </w:r>
      <w:r w:rsidRPr="00F548CC">
        <w:rPr>
          <w:szCs w:val="24"/>
          <w:lang w:val="es-MX"/>
        </w:rPr>
        <w:tab/>
        <w:t>DIP. PATRICICA GLIZE</w:t>
      </w: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r w:rsidRPr="00F548CC">
        <w:rPr>
          <w:szCs w:val="24"/>
          <w:lang w:val="es-MX"/>
        </w:rPr>
        <w:t>DIP. ALEJANDRO GRILLO</w:t>
      </w:r>
      <w:r w:rsidRPr="00F548CC">
        <w:rPr>
          <w:szCs w:val="24"/>
          <w:lang w:val="es-MX"/>
        </w:rPr>
        <w:tab/>
      </w:r>
      <w:r w:rsidRPr="00F548CC">
        <w:rPr>
          <w:szCs w:val="24"/>
          <w:lang w:val="es-MX"/>
        </w:rPr>
        <w:tab/>
      </w:r>
      <w:r w:rsidRPr="00F548CC">
        <w:rPr>
          <w:szCs w:val="24"/>
          <w:lang w:val="es-MX"/>
        </w:rPr>
        <w:tab/>
        <w:t>DIP. BERENICE IAÑEZ</w:t>
      </w: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r w:rsidRPr="00F548CC">
        <w:rPr>
          <w:szCs w:val="24"/>
          <w:lang w:val="es-MX"/>
        </w:rPr>
        <w:t>DIP. MATÍAS LAMMENS</w:t>
      </w:r>
      <w:r w:rsidRPr="00F548CC">
        <w:rPr>
          <w:szCs w:val="24"/>
          <w:lang w:val="es-MX"/>
        </w:rPr>
        <w:tab/>
      </w:r>
      <w:r w:rsidRPr="00F548CC">
        <w:rPr>
          <w:szCs w:val="24"/>
          <w:lang w:val="es-MX"/>
        </w:rPr>
        <w:tab/>
      </w:r>
      <w:r w:rsidRPr="00F548CC">
        <w:rPr>
          <w:szCs w:val="24"/>
          <w:lang w:val="es-MX"/>
        </w:rPr>
        <w:tab/>
      </w:r>
      <w:r w:rsidRPr="00F548CC">
        <w:rPr>
          <w:szCs w:val="24"/>
          <w:lang w:val="es-MX"/>
        </w:rPr>
        <w:tab/>
        <w:t>DIP. NICOLÁS PAKGOJZ</w:t>
      </w: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r w:rsidRPr="00F548CC">
        <w:rPr>
          <w:szCs w:val="24"/>
          <w:lang w:val="es-MX"/>
        </w:rPr>
        <w:t>DIP. IGNACIO PARERA</w:t>
      </w:r>
      <w:r w:rsidRPr="00F548CC">
        <w:rPr>
          <w:szCs w:val="24"/>
          <w:lang w:val="es-MX"/>
        </w:rPr>
        <w:tab/>
      </w:r>
      <w:r w:rsidRPr="00F548CC">
        <w:rPr>
          <w:szCs w:val="24"/>
          <w:lang w:val="es-MX"/>
        </w:rPr>
        <w:tab/>
      </w:r>
      <w:r w:rsidRPr="00F548CC">
        <w:rPr>
          <w:szCs w:val="24"/>
          <w:lang w:val="es-MX"/>
        </w:rPr>
        <w:tab/>
      </w:r>
      <w:r w:rsidRPr="00F548CC">
        <w:rPr>
          <w:szCs w:val="24"/>
          <w:lang w:val="es-MX"/>
        </w:rPr>
        <w:tab/>
        <w:t>DIP. SOLANA PELAYO</w:t>
      </w: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p>
    <w:p w:rsidR="001D1E16" w:rsidRPr="00F548CC" w:rsidRDefault="001D1E16" w:rsidP="00F548CC">
      <w:pPr>
        <w:spacing w:line="360" w:lineRule="auto"/>
        <w:rPr>
          <w:szCs w:val="24"/>
          <w:lang w:val="es-MX"/>
        </w:rPr>
      </w:pPr>
      <w:r w:rsidRPr="00F548CC">
        <w:rPr>
          <w:szCs w:val="24"/>
          <w:lang w:val="es-MX"/>
        </w:rPr>
        <w:t>DIP. HORACIO RODRIGUEZ LARRETA</w:t>
      </w:r>
      <w:r w:rsidRPr="00F548CC">
        <w:rPr>
          <w:szCs w:val="24"/>
          <w:lang w:val="es-MX"/>
        </w:rPr>
        <w:tab/>
      </w:r>
      <w:r w:rsidRPr="00F548CC">
        <w:rPr>
          <w:szCs w:val="24"/>
          <w:lang w:val="es-MX"/>
        </w:rPr>
        <w:tab/>
        <w:t>DIP. BÁRBARA ROSSEN</w:t>
      </w:r>
    </w:p>
    <w:p w:rsidR="001D1E16" w:rsidRPr="00F548CC" w:rsidRDefault="001D1E16" w:rsidP="00F548CC">
      <w:pPr>
        <w:spacing w:line="360" w:lineRule="auto"/>
        <w:rPr>
          <w:szCs w:val="24"/>
          <w:lang w:val="es-MX"/>
        </w:rPr>
      </w:pPr>
    </w:p>
    <w:p w:rsidR="007A2F5D" w:rsidRPr="00F548CC" w:rsidRDefault="007A2F5D" w:rsidP="00F548CC">
      <w:pPr>
        <w:spacing w:line="360" w:lineRule="auto"/>
        <w:rPr>
          <w:szCs w:val="24"/>
          <w:lang w:val="es-MX"/>
        </w:rPr>
      </w:pPr>
    </w:p>
    <w:p w:rsidR="007A2F5D" w:rsidRPr="00F548CC" w:rsidRDefault="007A2F5D" w:rsidP="00F548CC">
      <w:pPr>
        <w:spacing w:line="360" w:lineRule="auto"/>
        <w:rPr>
          <w:szCs w:val="24"/>
          <w:lang w:val="es-MX"/>
        </w:rPr>
      </w:pPr>
    </w:p>
    <w:p w:rsidR="007A2F5D" w:rsidRPr="00F548CC" w:rsidRDefault="007A2F5D" w:rsidP="00F548CC">
      <w:pPr>
        <w:spacing w:line="360" w:lineRule="auto"/>
        <w:rPr>
          <w:szCs w:val="24"/>
          <w:lang w:val="es-MX"/>
        </w:rPr>
      </w:pPr>
    </w:p>
    <w:p w:rsidR="00035117" w:rsidRPr="00F548CC" w:rsidRDefault="00035117" w:rsidP="00F548CC">
      <w:pPr>
        <w:spacing w:line="360" w:lineRule="auto"/>
        <w:rPr>
          <w:szCs w:val="24"/>
          <w:lang w:val="es-MX"/>
        </w:rPr>
      </w:pPr>
    </w:p>
    <w:p w:rsidR="00035117" w:rsidRPr="00F548CC" w:rsidRDefault="00035117" w:rsidP="00F548CC">
      <w:pPr>
        <w:spacing w:line="360" w:lineRule="auto"/>
        <w:rPr>
          <w:szCs w:val="24"/>
          <w:lang w:val="es-MX"/>
        </w:rPr>
      </w:pPr>
    </w:p>
    <w:p w:rsidR="00656C0A" w:rsidRPr="00F548CC" w:rsidRDefault="00656C0A" w:rsidP="00F548CC">
      <w:pPr>
        <w:spacing w:line="360" w:lineRule="auto"/>
        <w:rPr>
          <w:color w:val="FF0000"/>
          <w:szCs w:val="24"/>
          <w:lang w:val="es-MX"/>
        </w:rPr>
      </w:pPr>
    </w:p>
    <w:p w:rsidR="00853926" w:rsidRPr="00F548CC" w:rsidRDefault="00853926" w:rsidP="00F548CC">
      <w:pPr>
        <w:spacing w:line="360" w:lineRule="auto"/>
        <w:rPr>
          <w:szCs w:val="24"/>
          <w:lang w:val="es-MX"/>
        </w:rPr>
      </w:pPr>
    </w:p>
    <w:p w:rsidR="00853926" w:rsidRPr="00F548CC" w:rsidRDefault="00853926" w:rsidP="00F548CC">
      <w:pPr>
        <w:spacing w:line="360" w:lineRule="auto"/>
        <w:rPr>
          <w:szCs w:val="24"/>
          <w:lang w:val="es-MX"/>
        </w:rPr>
      </w:pPr>
    </w:p>
    <w:p w:rsidR="00B177FE" w:rsidRPr="00F548CC" w:rsidRDefault="00B177FE" w:rsidP="00F548CC">
      <w:pPr>
        <w:spacing w:line="360" w:lineRule="auto"/>
        <w:rPr>
          <w:szCs w:val="24"/>
          <w:lang w:val="es-MX"/>
        </w:rPr>
      </w:pPr>
    </w:p>
    <w:p w:rsidR="00AF6352" w:rsidRPr="00F548CC" w:rsidRDefault="00AF6352" w:rsidP="00F548CC">
      <w:pPr>
        <w:spacing w:line="360" w:lineRule="auto"/>
        <w:rPr>
          <w:szCs w:val="24"/>
          <w:lang w:val="es-MX"/>
        </w:rPr>
      </w:pPr>
    </w:p>
    <w:sectPr w:rsidR="00AF6352" w:rsidRPr="00F548CC" w:rsidSect="005A3AA1">
      <w:headerReference w:type="even" r:id="rId7"/>
      <w:headerReference w:type="default" r:id="rId8"/>
      <w:footerReference w:type="even" r:id="rId9"/>
      <w:footerReference w:type="default" r:id="rId10"/>
      <w:headerReference w:type="first" r:id="rId11"/>
      <w:footerReference w:type="first" r:id="rId12"/>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30" w:rsidRDefault="00571130">
      <w:r>
        <w:separator/>
      </w:r>
    </w:p>
  </w:endnote>
  <w:endnote w:type="continuationSeparator" w:id="0">
    <w:p w:rsidR="00571130" w:rsidRDefault="00571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D5" w:rsidRDefault="001514D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3D4A02" w:rsidRDefault="00601A75">
    <w:pPr>
      <w:pStyle w:val="Piedepgina"/>
      <w:rPr>
        <w:color w:val="333333"/>
        <w:sz w:val="20"/>
      </w:rPr>
    </w:pPr>
    <w:bookmarkStart w:id="1" w:name="Despacho"/>
    <w:bookmarkEnd w:id="1"/>
  </w:p>
  <w:p w:rsidR="00601A75" w:rsidRPr="003D4A02" w:rsidRDefault="00601A75">
    <w:pPr>
      <w:pStyle w:val="Piedepgina"/>
      <w:rPr>
        <w:color w:val="333333"/>
        <w:sz w:val="20"/>
      </w:rPr>
    </w:pPr>
    <w:r w:rsidRPr="003D4A02">
      <w:rPr>
        <w:color w:val="333333"/>
        <w:sz w:val="20"/>
      </w:rPr>
      <w:t xml:space="preserve">Último cambio: </w:t>
    </w:r>
    <w:fldSimple w:instr=" SAVEDATE  \* MERGEFORMAT ">
      <w:r w:rsidR="000514F4" w:rsidRPr="000514F4">
        <w:rPr>
          <w:noProof/>
          <w:color w:val="333333"/>
          <w:sz w:val="20"/>
        </w:rPr>
        <w:t>04/05/2026 16:56:00</w:t>
      </w:r>
    </w:fldSimple>
    <w:r w:rsidRPr="003D4A02">
      <w:rPr>
        <w:color w:val="333333"/>
        <w:sz w:val="20"/>
      </w:rPr>
      <w:t xml:space="preserve">  -  Cantidad de caracteres: </w:t>
    </w:r>
    <w:fldSimple w:instr=" NUMCHARS  \* MERGEFORMAT ">
      <w:r w:rsidR="00703057" w:rsidRPr="00703057">
        <w:rPr>
          <w:noProof/>
          <w:color w:val="333333"/>
          <w:sz w:val="20"/>
        </w:rPr>
        <w:t>5667</w:t>
      </w:r>
    </w:fldSimple>
    <w:r w:rsidRPr="003D4A02">
      <w:rPr>
        <w:color w:val="333333"/>
        <w:sz w:val="20"/>
      </w:rPr>
      <w:t xml:space="preserve"> - Cantidad de palabras: </w:t>
    </w:r>
    <w:fldSimple w:instr=" NUMWORDS  \* MERGEFORMAT ">
      <w:r w:rsidR="00703057" w:rsidRPr="00703057">
        <w:rPr>
          <w:noProof/>
          <w:color w:val="333333"/>
          <w:sz w:val="20"/>
        </w:rPr>
        <w:t>1000</w:t>
      </w:r>
    </w:fldSimple>
  </w:p>
  <w:p w:rsidR="00601A75" w:rsidRPr="003D4A02" w:rsidRDefault="00601A75" w:rsidP="00B05649">
    <w:pPr>
      <w:pStyle w:val="Piedepgina"/>
      <w:tabs>
        <w:tab w:val="left" w:pos="3565"/>
      </w:tabs>
      <w:rPr>
        <w:rStyle w:val="Nmerodepgina"/>
        <w:color w:val="333333"/>
      </w:rPr>
    </w:pPr>
    <w:r w:rsidRPr="003D4A02">
      <w:rPr>
        <w:color w:val="333333"/>
        <w:sz w:val="20"/>
      </w:rPr>
      <w:tab/>
      <w:t>Pág.</w:t>
    </w:r>
    <w:r w:rsidRPr="003D4A02">
      <w:rPr>
        <w:color w:val="333333"/>
      </w:rPr>
      <w:t xml:space="preserve"> </w:t>
    </w:r>
    <w:r w:rsidR="00DA253C" w:rsidRPr="003D4A02">
      <w:rPr>
        <w:rStyle w:val="Nmerodepgina"/>
        <w:color w:val="333333"/>
      </w:rPr>
      <w:fldChar w:fldCharType="begin"/>
    </w:r>
    <w:r w:rsidRPr="003D4A02">
      <w:rPr>
        <w:rStyle w:val="Nmerodepgina"/>
        <w:color w:val="333333"/>
      </w:rPr>
      <w:instrText xml:space="preserve"> PAGE </w:instrText>
    </w:r>
    <w:r w:rsidR="00DA253C" w:rsidRPr="003D4A02">
      <w:rPr>
        <w:rStyle w:val="Nmerodepgina"/>
        <w:color w:val="333333"/>
      </w:rPr>
      <w:fldChar w:fldCharType="separate"/>
    </w:r>
    <w:r w:rsidR="000514F4">
      <w:rPr>
        <w:rStyle w:val="Nmerodepgina"/>
        <w:noProof/>
        <w:color w:val="333333"/>
      </w:rPr>
      <w:t>4</w:t>
    </w:r>
    <w:r w:rsidR="00DA253C" w:rsidRPr="003D4A02">
      <w:rPr>
        <w:rStyle w:val="Nmerodepgina"/>
        <w:color w:val="333333"/>
      </w:rPr>
      <w:fldChar w:fldCharType="end"/>
    </w:r>
    <w:r w:rsidRPr="003D4A02">
      <w:rPr>
        <w:rStyle w:val="Nmerodepgina"/>
        <w:color w:val="333333"/>
      </w:rPr>
      <w:t>/</w:t>
    </w:r>
    <w:fldSimple w:instr=" NUMPAGES  \* MERGEFORMAT ">
      <w:r w:rsidR="000514F4" w:rsidRPr="000514F4">
        <w:rPr>
          <w:rStyle w:val="Nmerodepgina"/>
          <w:noProof/>
          <w:color w:val="333333"/>
        </w:rPr>
        <w:t>4</w:t>
      </w:r>
    </w:fldSimple>
    <w:r w:rsidRPr="003D4A02">
      <w:rPr>
        <w:rStyle w:val="Nmerodepgina"/>
        <w:color w:val="333333"/>
      </w:rPr>
      <w:t xml:space="preserve"> </w:t>
    </w:r>
  </w:p>
  <w:p w:rsidR="00601A75" w:rsidRPr="003D4A02"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D5" w:rsidRDefault="001514D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30" w:rsidRDefault="00571130">
      <w:r>
        <w:separator/>
      </w:r>
    </w:p>
  </w:footnote>
  <w:footnote w:type="continuationSeparator" w:id="0">
    <w:p w:rsidR="00571130" w:rsidRDefault="00571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D5" w:rsidRDefault="001514D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3D4A02" w:rsidP="0033168A">
    <w:pPr>
      <w:pStyle w:val="Encabezado"/>
      <w:ind w:left="-2410" w:firstLine="850"/>
      <w:jc w:val="center"/>
      <w:rPr>
        <w:i/>
        <w:sz w:val="18"/>
        <w:szCs w:val="18"/>
      </w:rPr>
    </w:pPr>
    <w:r>
      <w:rPr>
        <w:noProof/>
        <w:lang w:val="es-ES"/>
      </w:rPr>
      <w:drawing>
        <wp:anchor distT="0" distB="0" distL="114300" distR="114300" simplePos="0" relativeHeight="251657728" behindDoc="0" locked="0" layoutInCell="1" allowOverlap="1">
          <wp:simplePos x="0" y="0"/>
          <wp:positionH relativeFrom="margin">
            <wp:posOffset>-407670</wp:posOffset>
          </wp:positionH>
          <wp:positionV relativeFrom="paragraph">
            <wp:posOffset>-46355</wp:posOffset>
          </wp:positionV>
          <wp:extent cx="5400040" cy="737870"/>
          <wp:effectExtent l="19050" t="0" r="0" b="0"/>
          <wp:wrapTopAndBottom/>
          <wp:docPr id="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exto&#10;&#10;El contenido generado por IA puede ser incorrecto."/>
                  <pic:cNvPicPr>
                    <a:picLocks noChangeAspect="1" noChangeArrowheads="1"/>
                  </pic:cNvPicPr>
                </pic:nvPicPr>
                <pic:blipFill>
                  <a:blip r:embed="rId1"/>
                  <a:srcRect/>
                  <a:stretch>
                    <a:fillRect/>
                  </a:stretch>
                </pic:blipFill>
                <pic:spPr bwMode="auto">
                  <a:xfrm>
                    <a:off x="0" y="0"/>
                    <a:ext cx="5400040" cy="737870"/>
                  </a:xfrm>
                  <a:prstGeom prst="rect">
                    <a:avLst/>
                  </a:prstGeom>
                  <a:noFill/>
                  <a:ln w="9525">
                    <a:noFill/>
                    <a:miter lim="800000"/>
                    <a:headEnd/>
                    <a:tailEnd/>
                  </a:ln>
                </pic:spPr>
              </pic:pic>
            </a:graphicData>
          </a:graphic>
        </wp:anchor>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D5" w:rsidRDefault="001514D5">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2"/>
  </w:hdrShapeDefaults>
  <w:footnotePr>
    <w:footnote w:id="-1"/>
    <w:footnote w:id="0"/>
  </w:footnotePr>
  <w:endnotePr>
    <w:endnote w:id="-1"/>
    <w:endnote w:id="0"/>
  </w:endnotePr>
  <w:compat/>
  <w:rsids>
    <w:rsidRoot w:val="006F6E03"/>
    <w:rsid w:val="00000D04"/>
    <w:rsid w:val="00001988"/>
    <w:rsid w:val="000031F8"/>
    <w:rsid w:val="00026430"/>
    <w:rsid w:val="00030DF5"/>
    <w:rsid w:val="00035117"/>
    <w:rsid w:val="0003615C"/>
    <w:rsid w:val="000376AB"/>
    <w:rsid w:val="00043882"/>
    <w:rsid w:val="000514F4"/>
    <w:rsid w:val="00062864"/>
    <w:rsid w:val="00067370"/>
    <w:rsid w:val="000713D7"/>
    <w:rsid w:val="00071CFB"/>
    <w:rsid w:val="00072D68"/>
    <w:rsid w:val="00077DAC"/>
    <w:rsid w:val="00080837"/>
    <w:rsid w:val="00081FFF"/>
    <w:rsid w:val="00085D07"/>
    <w:rsid w:val="000B2290"/>
    <w:rsid w:val="000D1497"/>
    <w:rsid w:val="000D2860"/>
    <w:rsid w:val="000D6C54"/>
    <w:rsid w:val="000E3949"/>
    <w:rsid w:val="000E4319"/>
    <w:rsid w:val="000F74CB"/>
    <w:rsid w:val="000F7E30"/>
    <w:rsid w:val="00103C6B"/>
    <w:rsid w:val="00104335"/>
    <w:rsid w:val="00127D10"/>
    <w:rsid w:val="00136787"/>
    <w:rsid w:val="00145948"/>
    <w:rsid w:val="001514D5"/>
    <w:rsid w:val="00155C7C"/>
    <w:rsid w:val="00157395"/>
    <w:rsid w:val="00160A2A"/>
    <w:rsid w:val="001614A7"/>
    <w:rsid w:val="0019414B"/>
    <w:rsid w:val="001B0CF3"/>
    <w:rsid w:val="001B770D"/>
    <w:rsid w:val="001C18CC"/>
    <w:rsid w:val="001D1E16"/>
    <w:rsid w:val="001D480C"/>
    <w:rsid w:val="001E5394"/>
    <w:rsid w:val="001F2924"/>
    <w:rsid w:val="001F3AFD"/>
    <w:rsid w:val="001F507C"/>
    <w:rsid w:val="00205802"/>
    <w:rsid w:val="00205DAD"/>
    <w:rsid w:val="002139CA"/>
    <w:rsid w:val="00223436"/>
    <w:rsid w:val="00227E53"/>
    <w:rsid w:val="002300EE"/>
    <w:rsid w:val="002327DE"/>
    <w:rsid w:val="00246DF0"/>
    <w:rsid w:val="0026220D"/>
    <w:rsid w:val="00265972"/>
    <w:rsid w:val="0027142E"/>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6965"/>
    <w:rsid w:val="003A1FD7"/>
    <w:rsid w:val="003A7311"/>
    <w:rsid w:val="003B471C"/>
    <w:rsid w:val="003D10AB"/>
    <w:rsid w:val="003D4000"/>
    <w:rsid w:val="003D4A02"/>
    <w:rsid w:val="003F1EFD"/>
    <w:rsid w:val="003F4249"/>
    <w:rsid w:val="003F4935"/>
    <w:rsid w:val="00401C75"/>
    <w:rsid w:val="0040761B"/>
    <w:rsid w:val="00407E5C"/>
    <w:rsid w:val="00422C3F"/>
    <w:rsid w:val="004354AC"/>
    <w:rsid w:val="00446E1A"/>
    <w:rsid w:val="00451B11"/>
    <w:rsid w:val="004847CA"/>
    <w:rsid w:val="004A6D86"/>
    <w:rsid w:val="004B7714"/>
    <w:rsid w:val="004D2D62"/>
    <w:rsid w:val="004D30D5"/>
    <w:rsid w:val="004D438B"/>
    <w:rsid w:val="004E235F"/>
    <w:rsid w:val="0051012E"/>
    <w:rsid w:val="005142E6"/>
    <w:rsid w:val="00522C71"/>
    <w:rsid w:val="00534552"/>
    <w:rsid w:val="00536CF2"/>
    <w:rsid w:val="00540D49"/>
    <w:rsid w:val="00540E5C"/>
    <w:rsid w:val="00550A79"/>
    <w:rsid w:val="00551DE0"/>
    <w:rsid w:val="0057113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6C0A"/>
    <w:rsid w:val="0065711B"/>
    <w:rsid w:val="006811D6"/>
    <w:rsid w:val="00690392"/>
    <w:rsid w:val="00697F98"/>
    <w:rsid w:val="006A030E"/>
    <w:rsid w:val="006A6925"/>
    <w:rsid w:val="006C326A"/>
    <w:rsid w:val="006C40E9"/>
    <w:rsid w:val="006D3303"/>
    <w:rsid w:val="006D5CB7"/>
    <w:rsid w:val="006D6AA2"/>
    <w:rsid w:val="006E3675"/>
    <w:rsid w:val="006F6E03"/>
    <w:rsid w:val="006F748C"/>
    <w:rsid w:val="00703057"/>
    <w:rsid w:val="00705135"/>
    <w:rsid w:val="00706B8E"/>
    <w:rsid w:val="00715AF3"/>
    <w:rsid w:val="00720C1E"/>
    <w:rsid w:val="00734F30"/>
    <w:rsid w:val="007410E7"/>
    <w:rsid w:val="007420D8"/>
    <w:rsid w:val="00771B54"/>
    <w:rsid w:val="007728C1"/>
    <w:rsid w:val="00777916"/>
    <w:rsid w:val="00780167"/>
    <w:rsid w:val="00795E19"/>
    <w:rsid w:val="007A2F5D"/>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206"/>
    <w:rsid w:val="00846702"/>
    <w:rsid w:val="00853926"/>
    <w:rsid w:val="008553EB"/>
    <w:rsid w:val="0086333F"/>
    <w:rsid w:val="00870036"/>
    <w:rsid w:val="00870A2D"/>
    <w:rsid w:val="008844BF"/>
    <w:rsid w:val="0088546A"/>
    <w:rsid w:val="00890C59"/>
    <w:rsid w:val="00890E2F"/>
    <w:rsid w:val="008938E5"/>
    <w:rsid w:val="008A37C4"/>
    <w:rsid w:val="008B4536"/>
    <w:rsid w:val="008C4AC3"/>
    <w:rsid w:val="00906685"/>
    <w:rsid w:val="00910E0F"/>
    <w:rsid w:val="0091690E"/>
    <w:rsid w:val="00922110"/>
    <w:rsid w:val="00926954"/>
    <w:rsid w:val="00947238"/>
    <w:rsid w:val="009624FC"/>
    <w:rsid w:val="0096461D"/>
    <w:rsid w:val="009953AF"/>
    <w:rsid w:val="00996E34"/>
    <w:rsid w:val="009A607C"/>
    <w:rsid w:val="009A6E2B"/>
    <w:rsid w:val="009B2658"/>
    <w:rsid w:val="009B4BF7"/>
    <w:rsid w:val="009B4FAC"/>
    <w:rsid w:val="009C20D3"/>
    <w:rsid w:val="009E5835"/>
    <w:rsid w:val="009F1A01"/>
    <w:rsid w:val="009F4E01"/>
    <w:rsid w:val="00A06A2B"/>
    <w:rsid w:val="00A07090"/>
    <w:rsid w:val="00A11AD7"/>
    <w:rsid w:val="00A1286B"/>
    <w:rsid w:val="00A240CA"/>
    <w:rsid w:val="00A37C1D"/>
    <w:rsid w:val="00A40D86"/>
    <w:rsid w:val="00A43208"/>
    <w:rsid w:val="00A45924"/>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C5A8A"/>
    <w:rsid w:val="00AD271B"/>
    <w:rsid w:val="00AE2E8F"/>
    <w:rsid w:val="00AE6BDA"/>
    <w:rsid w:val="00AF5760"/>
    <w:rsid w:val="00AF6352"/>
    <w:rsid w:val="00B0518B"/>
    <w:rsid w:val="00B05649"/>
    <w:rsid w:val="00B1723C"/>
    <w:rsid w:val="00B177FE"/>
    <w:rsid w:val="00B264C1"/>
    <w:rsid w:val="00B31B65"/>
    <w:rsid w:val="00B36178"/>
    <w:rsid w:val="00B4532F"/>
    <w:rsid w:val="00B46232"/>
    <w:rsid w:val="00B60B8E"/>
    <w:rsid w:val="00B81742"/>
    <w:rsid w:val="00B85EE2"/>
    <w:rsid w:val="00BE4F5B"/>
    <w:rsid w:val="00BF2B7B"/>
    <w:rsid w:val="00BF71C2"/>
    <w:rsid w:val="00C26F53"/>
    <w:rsid w:val="00C330CB"/>
    <w:rsid w:val="00C3675D"/>
    <w:rsid w:val="00C41261"/>
    <w:rsid w:val="00C419C1"/>
    <w:rsid w:val="00C51E49"/>
    <w:rsid w:val="00C521F9"/>
    <w:rsid w:val="00C63351"/>
    <w:rsid w:val="00C71253"/>
    <w:rsid w:val="00C734F9"/>
    <w:rsid w:val="00C87365"/>
    <w:rsid w:val="00C93FF6"/>
    <w:rsid w:val="00CB7963"/>
    <w:rsid w:val="00CC20B0"/>
    <w:rsid w:val="00CD3069"/>
    <w:rsid w:val="00CE163F"/>
    <w:rsid w:val="00D21279"/>
    <w:rsid w:val="00D23C57"/>
    <w:rsid w:val="00D43AA2"/>
    <w:rsid w:val="00D518DB"/>
    <w:rsid w:val="00D55ECB"/>
    <w:rsid w:val="00D67721"/>
    <w:rsid w:val="00D758CE"/>
    <w:rsid w:val="00D76A86"/>
    <w:rsid w:val="00D927D4"/>
    <w:rsid w:val="00DA253C"/>
    <w:rsid w:val="00DD2795"/>
    <w:rsid w:val="00DD4DE2"/>
    <w:rsid w:val="00DD520D"/>
    <w:rsid w:val="00DF0164"/>
    <w:rsid w:val="00DF54AA"/>
    <w:rsid w:val="00E00E52"/>
    <w:rsid w:val="00E07D33"/>
    <w:rsid w:val="00E12909"/>
    <w:rsid w:val="00E12DDE"/>
    <w:rsid w:val="00E143B6"/>
    <w:rsid w:val="00E1481B"/>
    <w:rsid w:val="00E2793E"/>
    <w:rsid w:val="00E30CFF"/>
    <w:rsid w:val="00E44CBA"/>
    <w:rsid w:val="00E55186"/>
    <w:rsid w:val="00E615F1"/>
    <w:rsid w:val="00E63146"/>
    <w:rsid w:val="00E64A1D"/>
    <w:rsid w:val="00E74920"/>
    <w:rsid w:val="00E81EE5"/>
    <w:rsid w:val="00E91F21"/>
    <w:rsid w:val="00EB24A6"/>
    <w:rsid w:val="00EB6956"/>
    <w:rsid w:val="00EF0D22"/>
    <w:rsid w:val="00F13C69"/>
    <w:rsid w:val="00F41DF6"/>
    <w:rsid w:val="00F52245"/>
    <w:rsid w:val="00F548CC"/>
    <w:rsid w:val="00F5569F"/>
    <w:rsid w:val="00F60308"/>
    <w:rsid w:val="00F640D0"/>
    <w:rsid w:val="00F75389"/>
    <w:rsid w:val="00F76947"/>
    <w:rsid w:val="00F903E8"/>
    <w:rsid w:val="00FA0C8C"/>
    <w:rsid w:val="00FB26DA"/>
    <w:rsid w:val="00FB4415"/>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036"/>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870036"/>
    <w:pPr>
      <w:ind w:left="3686"/>
    </w:pPr>
  </w:style>
  <w:style w:type="paragraph" w:styleId="Encabezado">
    <w:name w:val="header"/>
    <w:basedOn w:val="Normal"/>
    <w:link w:val="EncabezadoCar"/>
    <w:uiPriority w:val="99"/>
    <w:rsid w:val="00870036"/>
    <w:pPr>
      <w:tabs>
        <w:tab w:val="center" w:pos="4419"/>
        <w:tab w:val="right" w:pos="8838"/>
      </w:tabs>
    </w:pPr>
  </w:style>
  <w:style w:type="paragraph" w:styleId="Piedepgina">
    <w:name w:val="footer"/>
    <w:basedOn w:val="Normal"/>
    <w:rsid w:val="00870036"/>
    <w:pPr>
      <w:tabs>
        <w:tab w:val="center" w:pos="4419"/>
        <w:tab w:val="right" w:pos="8838"/>
      </w:tabs>
    </w:pPr>
  </w:style>
  <w:style w:type="character" w:styleId="Nmerodepgina">
    <w:name w:val="page number"/>
    <w:basedOn w:val="Fuentedeprrafopredeter"/>
    <w:rsid w:val="00870036"/>
  </w:style>
  <w:style w:type="character" w:customStyle="1" w:styleId="EncabezadoCar">
    <w:name w:val="Encabezado Car"/>
    <w:link w:val="Encabezado"/>
    <w:uiPriority w:val="99"/>
    <w:rsid w:val="0033168A"/>
    <w:rPr>
      <w:sz w:val="24"/>
      <w:lang w:val="es-ES_tradnl"/>
    </w:rPr>
  </w:style>
  <w:style w:type="paragraph" w:styleId="Textoindependiente">
    <w:name w:val="Body Text"/>
    <w:basedOn w:val="Normal"/>
    <w:link w:val="TextoindependienteCar"/>
    <w:uiPriority w:val="1"/>
    <w:qFormat/>
    <w:rsid w:val="001F507C"/>
    <w:pPr>
      <w:widowControl w:val="0"/>
      <w:autoSpaceDE w:val="0"/>
      <w:autoSpaceDN w:val="0"/>
      <w:jc w:val="left"/>
    </w:pPr>
    <w:rPr>
      <w:rFonts w:ascii="Arial MT" w:eastAsia="Arial MT" w:hAnsi="Arial MT" w:cs="Arial MT"/>
      <w:szCs w:val="24"/>
      <w:lang w:val="es-ES" w:eastAsia="en-US"/>
    </w:rPr>
  </w:style>
  <w:style w:type="character" w:customStyle="1" w:styleId="TextoindependienteCar">
    <w:name w:val="Texto independiente Car"/>
    <w:basedOn w:val="Fuentedeprrafopredeter"/>
    <w:link w:val="Textoindependiente"/>
    <w:uiPriority w:val="1"/>
    <w:rsid w:val="001F507C"/>
    <w:rPr>
      <w:rFonts w:ascii="Arial MT" w:eastAsia="Arial MT" w:hAnsi="Arial MT" w:cs="Arial MT"/>
      <w:sz w:val="24"/>
      <w:szCs w:val="24"/>
      <w:lang w:eastAsia="en-US"/>
    </w:rPr>
  </w:style>
  <w:style w:type="character" w:styleId="Hipervnculo">
    <w:name w:val="Hyperlink"/>
    <w:basedOn w:val="Fuentedeprrafopredeter"/>
    <w:uiPriority w:val="99"/>
    <w:semiHidden/>
    <w:unhideWhenUsed/>
    <w:rsid w:val="001573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taraburelli\Desktop\DICTAMEN%20EXPTE.%20831-2026.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77D8F-6AAA-4A0A-AD7C-6B35302E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DICTAMEN EXPTE. 831-2026</Template>
  <TotalTime>1</TotalTime>
  <Pages>4</Pages>
  <Words>1038</Words>
  <Characters>5713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rotaraburelli</dc:creator>
  <cp:lastModifiedBy>cromussi</cp:lastModifiedBy>
  <cp:revision>2</cp:revision>
  <cp:lastPrinted>2026-05-04T16:44:00Z</cp:lastPrinted>
  <dcterms:created xsi:type="dcterms:W3CDTF">2026-05-04T21:28:00Z</dcterms:created>
  <dcterms:modified xsi:type="dcterms:W3CDTF">2026-05-04T21:28:00Z</dcterms:modified>
</cp:coreProperties>
</file>