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8B" w:rsidRPr="00027F82" w:rsidRDefault="008B788B" w:rsidP="008B788B">
      <w:pPr>
        <w:pStyle w:val="normal0"/>
        <w:pBdr>
          <w:top w:val="nil"/>
          <w:left w:val="nil"/>
          <w:bottom w:val="nil"/>
          <w:right w:val="nil"/>
          <w:between w:val="nil"/>
        </w:pBdr>
        <w:rPr>
          <w:rFonts w:asciiTheme="minorHAnsi" w:hAnsiTheme="minorHAnsi"/>
          <w:color w:val="000000"/>
        </w:rPr>
      </w:pPr>
      <w:r w:rsidRPr="00027F82">
        <w:rPr>
          <w:rFonts w:asciiTheme="minorHAnsi" w:hAnsiTheme="minorHAnsi"/>
          <w:b/>
          <w:bCs/>
          <w:color w:val="000000"/>
        </w:rPr>
        <w:t>Legislatura de la Ciudad Autónoma de Buenos Aires</w:t>
      </w:r>
    </w:p>
    <w:p w:rsidR="008B788B" w:rsidRPr="00027F82" w:rsidRDefault="008B788B" w:rsidP="008B788B">
      <w:pPr>
        <w:pStyle w:val="normal0"/>
        <w:pBdr>
          <w:top w:val="nil"/>
          <w:left w:val="nil"/>
          <w:bottom w:val="nil"/>
          <w:right w:val="nil"/>
          <w:between w:val="nil"/>
        </w:pBdr>
        <w:jc w:val="left"/>
        <w:rPr>
          <w:rFonts w:asciiTheme="minorHAnsi" w:hAnsiTheme="minorHAnsi"/>
          <w:color w:val="000000"/>
        </w:rPr>
      </w:pPr>
    </w:p>
    <w:p w:rsidR="008B788B" w:rsidRPr="00027F82" w:rsidRDefault="008B788B" w:rsidP="008B788B">
      <w:pPr>
        <w:pStyle w:val="normal0"/>
        <w:pBdr>
          <w:top w:val="nil"/>
          <w:left w:val="nil"/>
          <w:bottom w:val="nil"/>
          <w:right w:val="nil"/>
          <w:between w:val="nil"/>
        </w:pBdr>
        <w:rPr>
          <w:rFonts w:asciiTheme="minorHAnsi" w:hAnsiTheme="minorHAnsi"/>
          <w:color w:val="000000"/>
        </w:rPr>
      </w:pPr>
      <w:r w:rsidRPr="00027F82">
        <w:rPr>
          <w:rFonts w:asciiTheme="minorHAnsi" w:hAnsiTheme="minorHAnsi"/>
          <w:b/>
          <w:bCs/>
          <w:color w:val="000000"/>
        </w:rPr>
        <w:t>Visto:</w:t>
      </w:r>
    </w:p>
    <w:p w:rsidR="008B788B" w:rsidRPr="00027F82" w:rsidRDefault="008B788B" w:rsidP="008B788B">
      <w:pPr>
        <w:pStyle w:val="normal0"/>
        <w:pBdr>
          <w:top w:val="nil"/>
          <w:left w:val="nil"/>
          <w:bottom w:val="nil"/>
          <w:right w:val="nil"/>
          <w:between w:val="nil"/>
        </w:pBdr>
        <w:rPr>
          <w:rFonts w:asciiTheme="minorHAnsi" w:hAnsiTheme="minorHAnsi"/>
          <w:color w:val="000000"/>
        </w:rPr>
      </w:pPr>
      <w:r w:rsidRPr="00027F82">
        <w:rPr>
          <w:rFonts w:asciiTheme="minorHAnsi" w:hAnsiTheme="minorHAnsi"/>
          <w:color w:val="000000"/>
        </w:rPr>
        <w:t xml:space="preserve">           </w:t>
      </w:r>
    </w:p>
    <w:p w:rsidR="008B788B" w:rsidRPr="00027F82" w:rsidRDefault="008B788B" w:rsidP="008B788B">
      <w:pPr>
        <w:pStyle w:val="normal0"/>
        <w:pBdr>
          <w:top w:val="nil"/>
          <w:left w:val="nil"/>
          <w:bottom w:val="nil"/>
          <w:right w:val="nil"/>
          <w:between w:val="nil"/>
        </w:pBdr>
        <w:jc w:val="left"/>
        <w:rPr>
          <w:rFonts w:asciiTheme="minorHAnsi" w:hAnsiTheme="minorHAnsi"/>
          <w:color w:val="000000"/>
          <w:sz w:val="22"/>
          <w:szCs w:val="22"/>
        </w:rPr>
      </w:pPr>
      <w:r w:rsidRPr="00027F82">
        <w:rPr>
          <w:rFonts w:asciiTheme="minorHAnsi" w:hAnsiTheme="minorHAnsi"/>
          <w:color w:val="000000"/>
        </w:rPr>
        <w:t xml:space="preserve">          </w:t>
      </w:r>
      <w:r w:rsidRPr="00027F82">
        <w:rPr>
          <w:rFonts w:asciiTheme="minorHAnsi" w:hAnsiTheme="minorHAnsi"/>
          <w:color w:val="000000"/>
          <w:sz w:val="22"/>
          <w:szCs w:val="22"/>
        </w:rPr>
        <w:t xml:space="preserve">El </w:t>
      </w:r>
      <w:r w:rsidRPr="00027F82">
        <w:rPr>
          <w:rFonts w:asciiTheme="minorHAnsi" w:hAnsiTheme="minorHAnsi"/>
          <w:b/>
          <w:bCs/>
          <w:color w:val="000000"/>
          <w:sz w:val="22"/>
          <w:szCs w:val="22"/>
        </w:rPr>
        <w:t xml:space="preserve">Expediente Nº 911-D-2026 </w:t>
      </w:r>
      <w:r w:rsidRPr="00027F82">
        <w:rPr>
          <w:rFonts w:asciiTheme="minorHAnsi" w:hAnsiTheme="minorHAnsi"/>
          <w:color w:val="000000"/>
          <w:sz w:val="22"/>
          <w:szCs w:val="22"/>
        </w:rPr>
        <w:t xml:space="preserve">proyecto de Resolución de autoría de los/as diputados/as </w:t>
      </w:r>
      <w:proofErr w:type="spellStart"/>
      <w:r w:rsidRPr="00027F82">
        <w:rPr>
          <w:rFonts w:asciiTheme="minorHAnsi" w:hAnsiTheme="minorHAnsi"/>
          <w:color w:val="000000"/>
          <w:sz w:val="22"/>
          <w:szCs w:val="22"/>
        </w:rPr>
        <w:t>Neira</w:t>
      </w:r>
      <w:proofErr w:type="gramStart"/>
      <w:r w:rsidRPr="00027F82">
        <w:rPr>
          <w:rFonts w:asciiTheme="minorHAnsi" w:hAnsiTheme="minorHAnsi"/>
          <w:color w:val="000000"/>
          <w:sz w:val="22"/>
          <w:szCs w:val="22"/>
        </w:rPr>
        <w:t>,Claudia</w:t>
      </w:r>
      <w:proofErr w:type="spellEnd"/>
      <w:proofErr w:type="gramEnd"/>
      <w:r w:rsidRPr="00027F82">
        <w:rPr>
          <w:rFonts w:asciiTheme="minorHAnsi" w:hAnsiTheme="minorHAnsi"/>
          <w:color w:val="000000"/>
          <w:sz w:val="22"/>
          <w:szCs w:val="22"/>
        </w:rPr>
        <w:t xml:space="preserve">, </w:t>
      </w:r>
      <w:proofErr w:type="spellStart"/>
      <w:r w:rsidRPr="00027F82">
        <w:rPr>
          <w:rFonts w:asciiTheme="minorHAnsi" w:hAnsiTheme="minorHAnsi"/>
          <w:color w:val="000000"/>
          <w:sz w:val="22"/>
          <w:szCs w:val="22"/>
        </w:rPr>
        <w:t>Barroetaveña</w:t>
      </w:r>
      <w:proofErr w:type="spellEnd"/>
      <w:r w:rsidRPr="00027F82">
        <w:rPr>
          <w:rFonts w:asciiTheme="minorHAnsi" w:hAnsiTheme="minorHAnsi"/>
          <w:color w:val="000000"/>
          <w:sz w:val="22"/>
          <w:szCs w:val="22"/>
        </w:rPr>
        <w:t xml:space="preserve">, Matías, </w:t>
      </w:r>
      <w:proofErr w:type="spellStart"/>
      <w:r w:rsidRPr="00027F82">
        <w:rPr>
          <w:rFonts w:asciiTheme="minorHAnsi" w:hAnsiTheme="minorHAnsi"/>
          <w:color w:val="000000"/>
          <w:sz w:val="22"/>
          <w:szCs w:val="22"/>
        </w:rPr>
        <w:t>Rossen</w:t>
      </w:r>
      <w:proofErr w:type="spellEnd"/>
      <w:r w:rsidRPr="00027F82">
        <w:rPr>
          <w:rFonts w:asciiTheme="minorHAnsi" w:hAnsiTheme="minorHAnsi"/>
          <w:color w:val="000000"/>
          <w:sz w:val="22"/>
          <w:szCs w:val="22"/>
        </w:rPr>
        <w:t>, Bárbara, quienes solicitan:</w:t>
      </w:r>
      <w:r w:rsidRPr="00027F82">
        <w:rPr>
          <w:rFonts w:asciiTheme="minorHAnsi" w:hAnsiTheme="minorHAnsi"/>
          <w:sz w:val="22"/>
          <w:szCs w:val="22"/>
        </w:rPr>
        <w:t xml:space="preserve"> </w:t>
      </w:r>
      <w:r w:rsidRPr="00027F82">
        <w:rPr>
          <w:rFonts w:asciiTheme="minorHAnsi" w:hAnsiTheme="minorHAnsi"/>
          <w:color w:val="000000"/>
          <w:sz w:val="22"/>
          <w:szCs w:val="22"/>
        </w:rPr>
        <w:t>informes en relación con el instrumento denominado “capacidad constructiva adicional, y;</w:t>
      </w:r>
    </w:p>
    <w:p w:rsidR="008B788B" w:rsidRPr="00027F82" w:rsidRDefault="008B788B" w:rsidP="008B788B">
      <w:pPr>
        <w:pStyle w:val="normal0"/>
        <w:pBdr>
          <w:top w:val="nil"/>
          <w:left w:val="nil"/>
          <w:bottom w:val="nil"/>
          <w:right w:val="nil"/>
          <w:between w:val="nil"/>
        </w:pBdr>
        <w:rPr>
          <w:rFonts w:asciiTheme="minorHAnsi" w:hAnsiTheme="minorHAnsi"/>
          <w:color w:val="000000"/>
        </w:rPr>
      </w:pPr>
    </w:p>
    <w:p w:rsidR="008B788B" w:rsidRPr="00027F82" w:rsidRDefault="008B788B" w:rsidP="008B788B">
      <w:pPr>
        <w:pStyle w:val="normal0"/>
        <w:pBdr>
          <w:top w:val="nil"/>
          <w:left w:val="nil"/>
          <w:bottom w:val="nil"/>
          <w:right w:val="nil"/>
          <w:between w:val="nil"/>
        </w:pBdr>
        <w:rPr>
          <w:rFonts w:asciiTheme="minorHAnsi" w:hAnsiTheme="minorHAnsi"/>
          <w:b/>
          <w:bCs/>
          <w:color w:val="000000"/>
        </w:rPr>
      </w:pPr>
      <w:r w:rsidRPr="00027F82">
        <w:rPr>
          <w:rFonts w:asciiTheme="minorHAnsi" w:hAnsiTheme="minorHAnsi"/>
          <w:b/>
          <w:bCs/>
          <w:color w:val="000000"/>
        </w:rPr>
        <w:t>Considerando:</w:t>
      </w:r>
    </w:p>
    <w:p w:rsidR="00027F82" w:rsidRPr="00027F82" w:rsidRDefault="00027F82" w:rsidP="008B788B">
      <w:pPr>
        <w:pStyle w:val="normal0"/>
        <w:pBdr>
          <w:top w:val="nil"/>
          <w:left w:val="nil"/>
          <w:bottom w:val="nil"/>
          <w:right w:val="nil"/>
          <w:between w:val="nil"/>
        </w:pBdr>
        <w:rPr>
          <w:rFonts w:asciiTheme="minorHAnsi" w:hAnsiTheme="minorHAnsi"/>
          <w:color w:val="000000"/>
        </w:rPr>
      </w:pPr>
    </w:p>
    <w:p w:rsidR="00027F82" w:rsidRPr="00027F82" w:rsidRDefault="008B788B" w:rsidP="00F71838">
      <w:pPr>
        <w:ind w:firstLine="709"/>
      </w:pPr>
      <w:r w:rsidRPr="00027F82">
        <w:t>Que el presente proyecto de resolución tiene por objeto requerir al Poder Ejecutivo información detallada respecto de la implementación del instrumento denominado “Capacidad Constructiva Adicional”, incorporado en el Título 10 del Código Urbanístico como parte de los instrumentos de desarrollo territorial y reglamentado mediante el Decreto N.º 129</w:t>
      </w:r>
      <w:r w:rsidR="00027F82" w:rsidRPr="00027F82">
        <w:t>/25.</w:t>
      </w:r>
      <w:r w:rsidR="00027F82" w:rsidRPr="00027F82">
        <w:br/>
      </w:r>
    </w:p>
    <w:p w:rsidR="00027F82" w:rsidRPr="00027F82" w:rsidRDefault="008B788B" w:rsidP="00F71838">
      <w:pPr>
        <w:ind w:firstLine="709"/>
      </w:pPr>
      <w:r w:rsidRPr="00027F82">
        <w:t>Que la incorporación de este tipo de herramientas reviste una relevancia estratégica en tanto introduce mecanismos de transferencia y redistribución de la capacidad constructiva que impactan de manera directa en la configuración urbana, en la dinámica del mercado de suelo y en la localización de las inversiones inmobiliarias. En este sentido, no se trata de un instrumento neutro, sino de una herramienta con fuerte incidencia en la producción de ciudad y en la orie</w:t>
      </w:r>
      <w:r w:rsidR="00027F82" w:rsidRPr="00027F82">
        <w:t>ntación del desarrollo urbano.</w:t>
      </w:r>
      <w:r w:rsidR="00027F82" w:rsidRPr="00027F82">
        <w:br/>
      </w:r>
    </w:p>
    <w:p w:rsidR="00027F82" w:rsidRPr="00027F82" w:rsidRDefault="008B788B" w:rsidP="00F71838">
      <w:pPr>
        <w:ind w:firstLine="709"/>
      </w:pPr>
      <w:r w:rsidRPr="00027F82">
        <w:t>Que a un año de su reglamentación1, resulta imprescindible contar con información precisa que permita evaluar su grado de implementación, su eficacia en el cumplimiento de los objetivos propuestos y sus efectos concretos sobre el territorio. La ausencia de información sistematizada y de acceso público dificulta el ejercicio de las funciones de control propias de esta Legislatura, así como la posibilidad de analizar el impacto real del instrumento en términos urbaní</w:t>
      </w:r>
      <w:r w:rsidR="00027F82" w:rsidRPr="00027F82">
        <w:t>sticos, económicos y sociales.</w:t>
      </w:r>
      <w:r w:rsidR="00027F82" w:rsidRPr="00027F82">
        <w:br/>
      </w:r>
    </w:p>
    <w:p w:rsidR="00027F82" w:rsidRPr="00027F82" w:rsidRDefault="008B788B" w:rsidP="00F71838">
      <w:pPr>
        <w:ind w:firstLine="709"/>
      </w:pPr>
      <w:r w:rsidRPr="00027F82">
        <w:t>Que en particular, interesa conocer si la aplicación de la “Capacidad Constructiva Adicional” ha contribuido a orientar el desarrollo hacia áreas estratégicas definidas por la normativa, como el Área de Desarrollo Prioritario Sur, o si, por el contrario, ha tendido a reproducir lógicas de concentración de la valorización del suelo en determinadas zonas de la ciudad. Del mismo modo, resulta central evaluar su incidencia en los procesos de valorización inmobiliaria, en tanto este tipo de instrumentos puede generar importantes transferencias de renta urbana que deben ser debidament</w:t>
      </w:r>
      <w:r w:rsidR="00027F82" w:rsidRPr="00027F82">
        <w:t>e comprendidas y monitoreadas.</w:t>
      </w:r>
      <w:r w:rsidR="00027F82" w:rsidRPr="00027F82">
        <w:br/>
      </w:r>
    </w:p>
    <w:p w:rsidR="00027F82" w:rsidRPr="00027F82" w:rsidRDefault="008B788B" w:rsidP="00F71838">
      <w:pPr>
        <w:ind w:firstLine="709"/>
      </w:pPr>
      <w:r w:rsidRPr="00027F82">
        <w:t>Que asimismo, el pedido de informes pone el foco en la dimensión administrativa del instrumento, solicitando información detallada sobre las actuaciones tramitadas, sus características y tiempos de gestión. Ello responde a la necesidad de analizar no sólo el diseño normativo, sino también su implementación efectiva, identificando niveles de demanda y comportamient</w:t>
      </w:r>
      <w:r w:rsidR="00027F82" w:rsidRPr="00027F82">
        <w:t>o de los actores involucrados.</w:t>
      </w:r>
      <w:r w:rsidR="00027F82" w:rsidRPr="00027F82">
        <w:br/>
      </w:r>
    </w:p>
    <w:p w:rsidR="00027F82" w:rsidRPr="00027F82" w:rsidRDefault="008B788B" w:rsidP="00F71838">
      <w:pPr>
        <w:ind w:firstLine="709"/>
      </w:pPr>
      <w:r w:rsidRPr="00027F82">
        <w:t>Que en este marco, cobra especial relevancia la reciente modificación de la estructura administrativa dispuesta por el Decreto N</w:t>
      </w:r>
      <w:proofErr w:type="gramStart"/>
      <w:r w:rsidRPr="00027F82">
        <w:t>.º</w:t>
      </w:r>
      <w:proofErr w:type="gramEnd"/>
      <w:r w:rsidRPr="00027F82">
        <w:t xml:space="preserve"> 58/26, que suprimió la Subsecretaría de Gestión Urbana y creó la Secretaría de Gestión y Desarrollo Urbano en el ámbito de la Jefatura de Gabinete de M</w:t>
      </w:r>
      <w:r w:rsidR="00027F82" w:rsidRPr="00027F82">
        <w:t>inistros.</w:t>
      </w:r>
      <w:r w:rsidRPr="00027F82">
        <w:br/>
      </w:r>
    </w:p>
    <w:p w:rsidR="00027F82" w:rsidRPr="00027F82" w:rsidRDefault="008B788B" w:rsidP="00F71838">
      <w:pPr>
        <w:ind w:firstLine="709"/>
      </w:pPr>
      <w:r w:rsidRPr="00027F82">
        <w:t>Que dicha reconfiguración institucional hace necesario verificar la adecuada continuidad de los procesos administrativos, la integridad de las actuaciones y la correcta trazabilidad de los expedientes vinculados al instrumento. La transparencia en los circuitos administrativos y la claridad en la asignación de responsabilidades constituyen condiciones indispensables para garantizar la legalidad, eficiencia y control de la gestión pública.</w:t>
      </w:r>
      <w:r w:rsidR="001934C8" w:rsidRPr="00027F82">
        <w:br/>
      </w:r>
    </w:p>
    <w:p w:rsidR="00027F82" w:rsidRPr="00027F82" w:rsidRDefault="001934C8" w:rsidP="00F71838">
      <w:pPr>
        <w:ind w:firstLine="709"/>
      </w:pPr>
      <w:r w:rsidRPr="00027F82">
        <w:lastRenderedPageBreak/>
        <w:t xml:space="preserve">Que por otra parte, el acceso a la información pública en formatos abiertos y la existencia de registros actualizados resultan elementos fundamentales para fortalecer la transparencia y promover instancias de análisis </w:t>
      </w:r>
      <w:proofErr w:type="gramStart"/>
      <w:r w:rsidRPr="00027F82">
        <w:t>técnico independientes</w:t>
      </w:r>
      <w:proofErr w:type="gramEnd"/>
      <w:r w:rsidRPr="00027F82">
        <w:t>.</w:t>
      </w:r>
      <w:r w:rsidRPr="00027F82">
        <w:br/>
      </w:r>
    </w:p>
    <w:p w:rsidR="001934C8" w:rsidRPr="00027F82" w:rsidRDefault="001934C8" w:rsidP="00F71838">
      <w:pPr>
        <w:ind w:firstLine="709"/>
      </w:pPr>
      <w:r w:rsidRPr="00027F82">
        <w:t xml:space="preserve">Que en instrumentos de alta complejidad y con impacto territorial significativo, la disponibilidad de información desagregada y </w:t>
      </w:r>
      <w:proofErr w:type="spellStart"/>
      <w:r w:rsidRPr="00027F82">
        <w:t>georreferenciada</w:t>
      </w:r>
      <w:proofErr w:type="spellEnd"/>
      <w:r w:rsidRPr="00027F82">
        <w:t xml:space="preserve"> no sólo mejora la calidad del debate público, sino que también contribuye a una mejor toma de decisiones.</w:t>
      </w:r>
      <w:r w:rsidRPr="00027F82">
        <w:br/>
      </w:r>
    </w:p>
    <w:p w:rsidR="00027F82" w:rsidRPr="00027F82" w:rsidRDefault="001934C8" w:rsidP="00027F82">
      <w:pPr>
        <w:pStyle w:val="normal0"/>
        <w:pBdr>
          <w:top w:val="nil"/>
          <w:left w:val="nil"/>
          <w:bottom w:val="nil"/>
          <w:right w:val="nil"/>
          <w:between w:val="nil"/>
        </w:pBdr>
        <w:ind w:firstLine="709"/>
        <w:jc w:val="left"/>
        <w:rPr>
          <w:rFonts w:asciiTheme="minorHAnsi" w:hAnsiTheme="minorHAnsi"/>
          <w:color w:val="000000"/>
          <w:sz w:val="22"/>
          <w:szCs w:val="22"/>
        </w:rPr>
      </w:pPr>
      <w:r w:rsidRPr="00027F82">
        <w:rPr>
          <w:rFonts w:asciiTheme="minorHAnsi" w:hAnsiTheme="minorHAnsi"/>
          <w:sz w:val="22"/>
          <w:szCs w:val="22"/>
        </w:rPr>
        <w:t>Que en definitiva, el presente pedido de informes busca dotar a esta Legislatura de herramientas concretas para ejercer su rol de control, así como generar insumos que permitan evaluar de manera integral el funcionamiento de un instrumento clave de la política urbana de la Ciudad.</w:t>
      </w:r>
      <w:r w:rsidR="008B788B" w:rsidRPr="00027F82">
        <w:rPr>
          <w:rFonts w:asciiTheme="minorHAnsi" w:hAnsiTheme="minorHAnsi"/>
          <w:sz w:val="22"/>
          <w:szCs w:val="22"/>
        </w:rPr>
        <w:br/>
      </w:r>
    </w:p>
    <w:p w:rsidR="001934C8" w:rsidRPr="00027F82" w:rsidRDefault="001934C8" w:rsidP="00027F82">
      <w:pPr>
        <w:pStyle w:val="normal0"/>
        <w:pBdr>
          <w:top w:val="nil"/>
          <w:left w:val="nil"/>
          <w:bottom w:val="nil"/>
          <w:right w:val="nil"/>
          <w:between w:val="nil"/>
        </w:pBdr>
        <w:ind w:firstLine="709"/>
        <w:jc w:val="left"/>
        <w:rPr>
          <w:rFonts w:asciiTheme="minorHAnsi" w:hAnsiTheme="minorHAnsi"/>
          <w:color w:val="000000"/>
          <w:sz w:val="22"/>
          <w:szCs w:val="22"/>
        </w:rPr>
      </w:pPr>
      <w:r w:rsidRPr="00027F82">
        <w:rPr>
          <w:rFonts w:asciiTheme="minorHAnsi" w:hAnsiTheme="minorHAnsi"/>
          <w:color w:val="000000"/>
          <w:sz w:val="22"/>
          <w:szCs w:val="22"/>
        </w:rPr>
        <w:t>Por todo lo expuesto esta Comisión de Planeamiento Urbano aconseja la sanción de la siguiente:</w:t>
      </w:r>
    </w:p>
    <w:p w:rsidR="00027F82" w:rsidRDefault="001934C8" w:rsidP="00C42A27">
      <w:pPr>
        <w:rPr>
          <w:rFonts w:cs="Times New Roman"/>
          <w:b/>
        </w:rPr>
      </w:pPr>
      <w:r w:rsidRPr="00027F82">
        <w:rPr>
          <w:rFonts w:cs="Times New Roman"/>
          <w:b/>
          <w:lang w:val="es-MX"/>
        </w:rPr>
        <w:br/>
      </w:r>
      <w:r w:rsidRPr="00027F82">
        <w:rPr>
          <w:rFonts w:cs="Times New Roman"/>
          <w:b/>
        </w:rPr>
        <w:t xml:space="preserve">                                                        RESOLUCIÓN</w:t>
      </w:r>
    </w:p>
    <w:p w:rsidR="00C42A27" w:rsidRPr="00027F82" w:rsidRDefault="001934C8" w:rsidP="00C42A27">
      <w:pPr>
        <w:rPr>
          <w:rFonts w:cs="Times New Roman"/>
          <w:b/>
        </w:rPr>
      </w:pPr>
      <w:r w:rsidRPr="00027F82">
        <w:rPr>
          <w:rFonts w:cs="Times New Roman"/>
          <w:b/>
        </w:rPr>
        <w:br/>
        <w:t>Artículo 1°</w:t>
      </w:r>
      <w:r w:rsidRPr="00027F82">
        <w:rPr>
          <w:rFonts w:cs="Times New Roman"/>
        </w:rPr>
        <w:t xml:space="preserve">.- El Poder Ejecutivo informará, a través de los organismos correspondientes, en un plazo máximo de 30 (treinta) días corridos contados a partir de la recepción de la presente, en relación con el instrumento denominado </w:t>
      </w:r>
      <w:r w:rsidRPr="00027F82">
        <w:rPr>
          <w:rFonts w:cs="Times New Roman"/>
          <w:b/>
        </w:rPr>
        <w:t>“Capacidad Constructiva Adicional”</w:t>
      </w:r>
      <w:r w:rsidRPr="00027F82">
        <w:rPr>
          <w:rFonts w:cs="Times New Roman"/>
        </w:rPr>
        <w:t>, previsto en el Título 10 “Instrumentos de Desarrollo Territorial y Programas de Actuación Urbanística”, artículo 10.1 del Código Urbanístico, y reglamentado mediante Decreto N.º 129/25, lo siguiente:</w:t>
      </w:r>
      <w:r w:rsidRPr="00027F82">
        <w:rPr>
          <w:rFonts w:cs="Times New Roman"/>
        </w:rPr>
        <w:br/>
      </w:r>
      <w:r w:rsidRPr="00027F82">
        <w:rPr>
          <w:rFonts w:cs="Times New Roman"/>
        </w:rPr>
        <w:br/>
      </w:r>
      <w:r w:rsidRPr="00027F82">
        <w:rPr>
          <w:rFonts w:cs="Times New Roman"/>
          <w:b/>
        </w:rPr>
        <w:t>a) Planificación</w:t>
      </w:r>
      <w:r w:rsidRPr="00027F82">
        <w:rPr>
          <w:rFonts w:cs="Times New Roman"/>
          <w:b/>
        </w:rPr>
        <w:br/>
      </w:r>
      <w:r w:rsidR="00C42A27" w:rsidRPr="00027F82">
        <w:rPr>
          <w:rFonts w:cs="Times New Roman"/>
        </w:rPr>
        <w:br/>
      </w:r>
      <w:r w:rsidRPr="00027F82">
        <w:rPr>
          <w:rFonts w:cs="Times New Roman"/>
        </w:rPr>
        <w:t>Detalle las metas generales y específicas definidas para la implementación del instrumento, indicando:</w:t>
      </w:r>
      <w:r w:rsidRPr="00027F82">
        <w:rPr>
          <w:rFonts w:cs="Times New Roman"/>
        </w:rPr>
        <w:br/>
      </w:r>
      <w:r w:rsidRPr="00027F82">
        <w:rPr>
          <w:rFonts w:cs="Times New Roman"/>
        </w:rPr>
        <w:br/>
      </w:r>
      <w:r w:rsidRPr="00584F97">
        <w:rPr>
          <w:rFonts w:cs="Times New Roman"/>
          <w:i/>
        </w:rPr>
        <w:t>Objetivos estratégicos y operativos.</w:t>
      </w:r>
      <w:r w:rsidRPr="00584F97">
        <w:rPr>
          <w:rFonts w:cs="Times New Roman"/>
          <w:i/>
        </w:rPr>
        <w:br/>
        <w:t xml:space="preserve">Indicadores de seguimiento y evaluación. </w:t>
      </w:r>
      <w:r w:rsidRPr="00584F97">
        <w:rPr>
          <w:rFonts w:cs="Times New Roman"/>
          <w:i/>
        </w:rPr>
        <w:br/>
        <w:t>Plazos de cumplimiento previstos.</w:t>
      </w:r>
      <w:r w:rsidRPr="00584F97">
        <w:rPr>
          <w:rFonts w:cs="Times New Roman"/>
          <w:i/>
        </w:rPr>
        <w:br/>
      </w:r>
      <w:r w:rsidRPr="00027F82">
        <w:rPr>
          <w:rFonts w:cs="Times New Roman"/>
        </w:rPr>
        <w:br/>
      </w:r>
      <w:r w:rsidRPr="00027F82">
        <w:rPr>
          <w:rFonts w:cs="Times New Roman"/>
          <w:b/>
        </w:rPr>
        <w:t>b) Evaluación</w:t>
      </w:r>
      <w:r w:rsidR="00C42A27" w:rsidRPr="00027F82">
        <w:rPr>
          <w:rFonts w:cs="Times New Roman"/>
          <w:b/>
        </w:rPr>
        <w:br/>
      </w:r>
    </w:p>
    <w:p w:rsidR="00584F97" w:rsidRDefault="001934C8" w:rsidP="00C42A27">
      <w:pPr>
        <w:rPr>
          <w:rFonts w:cs="Times New Roman"/>
          <w:b/>
        </w:rPr>
      </w:pPr>
      <w:r w:rsidRPr="00027F82">
        <w:rPr>
          <w:rFonts w:cs="Times New Roman"/>
        </w:rPr>
        <w:t>Informe si se ha efectuado una evaluación integral del instrumento a un (1) año de su reglamentación. En caso afirmativo, remita:</w:t>
      </w:r>
      <w:r w:rsidRPr="00027F82">
        <w:rPr>
          <w:rFonts w:cs="Times New Roman"/>
        </w:rPr>
        <w:br/>
      </w:r>
      <w:r w:rsidRPr="00027F82">
        <w:rPr>
          <w:rFonts w:cs="Times New Roman"/>
        </w:rPr>
        <w:br/>
      </w:r>
      <w:r w:rsidRPr="00584F97">
        <w:rPr>
          <w:rFonts w:cs="Times New Roman"/>
          <w:i/>
        </w:rPr>
        <w:t>Metodología utilizada.</w:t>
      </w:r>
      <w:r w:rsidR="00C42A27" w:rsidRPr="00584F97">
        <w:rPr>
          <w:rFonts w:cs="Times New Roman"/>
          <w:i/>
        </w:rPr>
        <w:br/>
      </w:r>
      <w:r w:rsidRPr="00584F97">
        <w:rPr>
          <w:rFonts w:cs="Times New Roman"/>
          <w:i/>
        </w:rPr>
        <w:t>Resultados obtenidos.</w:t>
      </w:r>
      <w:r w:rsidRPr="00584F97">
        <w:rPr>
          <w:rFonts w:cs="Times New Roman"/>
          <w:i/>
        </w:rPr>
        <w:br/>
        <w:t>Desvíos identificados respecto de las metas previstas.</w:t>
      </w:r>
      <w:r w:rsidR="00C42A27" w:rsidRPr="00584F97">
        <w:rPr>
          <w:rFonts w:cs="Times New Roman"/>
          <w:i/>
        </w:rPr>
        <w:br/>
      </w:r>
      <w:r w:rsidRPr="00584F97">
        <w:rPr>
          <w:rFonts w:cs="Times New Roman"/>
          <w:i/>
        </w:rPr>
        <w:t>Medidas correctivas implementadas o proyectadas.</w:t>
      </w:r>
      <w:r w:rsidR="00C42A27" w:rsidRPr="00584F97">
        <w:rPr>
          <w:rFonts w:cs="Times New Roman"/>
          <w:i/>
        </w:rPr>
        <w:br/>
      </w:r>
      <w:r w:rsidRPr="00584F97">
        <w:rPr>
          <w:rFonts w:cs="Times New Roman"/>
          <w:i/>
        </w:rPr>
        <w:t>Localización / Distribución territorial de la capacidad constructiva.</w:t>
      </w:r>
      <w:r w:rsidR="00C42A27" w:rsidRPr="00584F97">
        <w:rPr>
          <w:rFonts w:cs="Times New Roman"/>
          <w:i/>
        </w:rPr>
        <w:br/>
      </w:r>
      <w:r w:rsidRPr="00584F97">
        <w:rPr>
          <w:rFonts w:cs="Times New Roman"/>
          <w:i/>
        </w:rPr>
        <w:t xml:space="preserve">Impacto en la valorización del suelo. </w:t>
      </w:r>
      <w:r w:rsidRPr="00584F97">
        <w:rPr>
          <w:rFonts w:cs="Times New Roman"/>
          <w:i/>
        </w:rPr>
        <w:br/>
        <w:t>Impacto urbano en las dinámicas de las áreas afectadas, en particular el Área de Desarrollo Prioritario Sur.</w:t>
      </w:r>
      <w:r w:rsidRPr="00584F97">
        <w:rPr>
          <w:rFonts w:cs="Times New Roman"/>
          <w:i/>
        </w:rPr>
        <w:br/>
      </w:r>
      <w:r w:rsidRPr="00027F82">
        <w:rPr>
          <w:rFonts w:cs="Times New Roman"/>
        </w:rPr>
        <w:br/>
      </w:r>
      <w:r w:rsidRPr="00027F82">
        <w:rPr>
          <w:rFonts w:cs="Times New Roman"/>
          <w:b/>
        </w:rPr>
        <w:t>c) Gestión administrativa</w:t>
      </w:r>
      <w:r w:rsidRPr="00027F82">
        <w:rPr>
          <w:rFonts w:cs="Times New Roman"/>
        </w:rPr>
        <w:br/>
      </w:r>
      <w:r w:rsidR="00C42A27" w:rsidRPr="00027F82">
        <w:rPr>
          <w:rFonts w:cs="Times New Roman"/>
        </w:rPr>
        <w:br/>
      </w:r>
      <w:r w:rsidRPr="00027F82">
        <w:rPr>
          <w:rFonts w:cs="Times New Roman"/>
        </w:rPr>
        <w:t>Informe la cantidad de intervenciones tramitadas, tanto formales como informales, ante las áreas competentes (Subsecretaría de Gestión Urbana y Secretaría de Gestión y Desarrollo Urbano), discriminadas por tipo de actuación, conforme el siguiente detalle:</w:t>
      </w:r>
      <w:r w:rsidRPr="00027F82">
        <w:rPr>
          <w:rFonts w:cs="Times New Roman"/>
        </w:rPr>
        <w:br/>
      </w:r>
      <w:r w:rsidRPr="00027F82">
        <w:rPr>
          <w:rFonts w:cs="Times New Roman"/>
        </w:rPr>
        <w:br/>
      </w:r>
      <w:r w:rsidRPr="00584F97">
        <w:rPr>
          <w:rFonts w:cs="Times New Roman"/>
          <w:i/>
        </w:rPr>
        <w:t>Evaluación de Capacidad Constructiva Adicional – Parcela Receptora</w:t>
      </w:r>
      <w:r w:rsidR="00F71838" w:rsidRPr="00584F97">
        <w:rPr>
          <w:rFonts w:cs="Times New Roman"/>
          <w:i/>
        </w:rPr>
        <w:t>-</w:t>
      </w:r>
      <w:r w:rsidR="00F71838" w:rsidRPr="00584F97">
        <w:rPr>
          <w:rFonts w:cs="Times New Roman"/>
          <w:i/>
        </w:rPr>
        <w:br/>
      </w:r>
      <w:r w:rsidRPr="00584F97">
        <w:rPr>
          <w:rFonts w:cs="Times New Roman"/>
          <w:i/>
        </w:rPr>
        <w:t>Evaluación de Capacidad Constructiva Adicional – Proyecto Emisor.</w:t>
      </w:r>
      <w:r w:rsidR="00F71838" w:rsidRPr="00584F97">
        <w:rPr>
          <w:rFonts w:cs="Times New Roman"/>
          <w:i/>
        </w:rPr>
        <w:br/>
      </w:r>
      <w:r w:rsidRPr="00584F97">
        <w:rPr>
          <w:rFonts w:cs="Times New Roman"/>
          <w:i/>
        </w:rPr>
        <w:t xml:space="preserve">Consulta de Capacidad Emisora – Área de Desarrollo Prioritario Sur. </w:t>
      </w:r>
      <w:r w:rsidR="00C42A27" w:rsidRPr="00584F97">
        <w:rPr>
          <w:rFonts w:cs="Times New Roman"/>
          <w:i/>
        </w:rPr>
        <w:br/>
      </w:r>
      <w:r w:rsidRPr="00584F97">
        <w:rPr>
          <w:rFonts w:cs="Times New Roman"/>
          <w:i/>
        </w:rPr>
        <w:t>Certificados de Capacidad Constructiva Adicional.</w:t>
      </w:r>
      <w:r w:rsidR="00C42A27" w:rsidRPr="00584F97">
        <w:rPr>
          <w:rFonts w:cs="Times New Roman"/>
          <w:i/>
        </w:rPr>
        <w:br/>
      </w:r>
      <w:r w:rsidRPr="00584F97">
        <w:rPr>
          <w:rFonts w:cs="Times New Roman"/>
          <w:i/>
        </w:rPr>
        <w:lastRenderedPageBreak/>
        <w:t>Factibilidad de Capacidad Constructiva Adicional – Parcela Receptora.</w:t>
      </w:r>
      <w:r w:rsidR="00F71838" w:rsidRPr="00584F97">
        <w:rPr>
          <w:rFonts w:cs="Times New Roman"/>
          <w:i/>
        </w:rPr>
        <w:br/>
      </w:r>
      <w:r w:rsidRPr="00584F97">
        <w:rPr>
          <w:rFonts w:cs="Times New Roman"/>
          <w:i/>
        </w:rPr>
        <w:t>Certificados de Capacidad Constructiva Adicional para transferencia de capacidad constructiva entre parcelas.</w:t>
      </w:r>
      <w:r w:rsidR="00F71838" w:rsidRPr="00584F97">
        <w:rPr>
          <w:rFonts w:cs="Times New Roman"/>
          <w:i/>
        </w:rPr>
        <w:br/>
      </w:r>
      <w:r w:rsidRPr="00584F97">
        <w:rPr>
          <w:rFonts w:cs="Times New Roman"/>
          <w:i/>
        </w:rPr>
        <w:t>Registros de Capacidad Constructiva Adicional</w:t>
      </w:r>
      <w:r w:rsidR="00F71838" w:rsidRPr="00584F97">
        <w:rPr>
          <w:rFonts w:cs="Times New Roman"/>
          <w:i/>
        </w:rPr>
        <w:br/>
      </w:r>
      <w:r w:rsidRPr="00584F97">
        <w:rPr>
          <w:rFonts w:cs="Times New Roman"/>
          <w:i/>
        </w:rPr>
        <w:t>Análisis de propuestas de cesión de dominio de Proyec</w:t>
      </w:r>
      <w:r w:rsidR="00C42A27" w:rsidRPr="00584F97">
        <w:rPr>
          <w:rFonts w:cs="Times New Roman"/>
          <w:i/>
        </w:rPr>
        <w:t>tos Emisores en el marco de las</w:t>
      </w:r>
      <w:r w:rsidR="00C42A27" w:rsidRPr="00584F97">
        <w:rPr>
          <w:rFonts w:cs="Times New Roman"/>
          <w:i/>
        </w:rPr>
        <w:br/>
      </w:r>
      <w:r w:rsidRPr="00584F97">
        <w:rPr>
          <w:rFonts w:cs="Times New Roman"/>
          <w:i/>
        </w:rPr>
        <w:t>Áreas de Promoción de Espacios Verdes (A.P.E.V.).</w:t>
      </w:r>
    </w:p>
    <w:p w:rsidR="00C42A27" w:rsidRPr="00027F82" w:rsidRDefault="00F71838" w:rsidP="00C42A27">
      <w:pPr>
        <w:rPr>
          <w:rFonts w:cs="Times New Roman"/>
          <w:b/>
        </w:rPr>
      </w:pPr>
      <w:r w:rsidRPr="00584F97">
        <w:rPr>
          <w:rFonts w:cs="Times New Roman"/>
          <w:b/>
        </w:rPr>
        <w:br/>
      </w:r>
      <w:r w:rsidRPr="00027F82">
        <w:rPr>
          <w:rFonts w:cs="Times New Roman"/>
          <w:b/>
        </w:rPr>
        <w:t>d) Información de las actuaciones</w:t>
      </w:r>
      <w:r w:rsidRPr="00027F82">
        <w:rPr>
          <w:rFonts w:cs="Times New Roman"/>
          <w:b/>
        </w:rPr>
        <w:br/>
      </w:r>
    </w:p>
    <w:p w:rsidR="00584F97" w:rsidRDefault="00F71838" w:rsidP="00C42A27">
      <w:pPr>
        <w:rPr>
          <w:rFonts w:cs="Times New Roman"/>
        </w:rPr>
      </w:pPr>
      <w:r w:rsidRPr="00027F82">
        <w:rPr>
          <w:rFonts w:cs="Times New Roman"/>
        </w:rPr>
        <w:t>Para cada una de las intervenciones indicadas en el inciso precedente, consigne como mínimo:</w:t>
      </w:r>
    </w:p>
    <w:p w:rsidR="00C42A27" w:rsidRPr="00027F82" w:rsidRDefault="00F71838" w:rsidP="00C42A27">
      <w:pPr>
        <w:rPr>
          <w:rFonts w:cs="Times New Roman"/>
        </w:rPr>
      </w:pPr>
      <w:r w:rsidRPr="00027F82">
        <w:rPr>
          <w:rFonts w:cs="Times New Roman"/>
        </w:rPr>
        <w:br/>
      </w:r>
      <w:r w:rsidRPr="00584F97">
        <w:rPr>
          <w:rFonts w:cs="Times New Roman"/>
          <w:i/>
        </w:rPr>
        <w:t xml:space="preserve">Localización precisa de las parcelas involucradas (receptoras y/o emisoras). Nomenclatura catastral completa y situación </w:t>
      </w:r>
      <w:proofErr w:type="spellStart"/>
      <w:r w:rsidRPr="00584F97">
        <w:rPr>
          <w:rFonts w:cs="Times New Roman"/>
          <w:i/>
        </w:rPr>
        <w:t>dominial</w:t>
      </w:r>
      <w:proofErr w:type="spellEnd"/>
      <w:r w:rsidRPr="00584F97">
        <w:rPr>
          <w:rFonts w:cs="Times New Roman"/>
          <w:i/>
        </w:rPr>
        <w:t>.</w:t>
      </w:r>
      <w:r w:rsidRPr="00584F97">
        <w:rPr>
          <w:rFonts w:cs="Times New Roman"/>
          <w:i/>
        </w:rPr>
        <w:br/>
        <w:t>Superficie de las parcelas involucradas.</w:t>
      </w:r>
      <w:r w:rsidRPr="00584F97">
        <w:rPr>
          <w:rFonts w:cs="Times New Roman"/>
          <w:i/>
        </w:rPr>
        <w:br/>
        <w:t>Características del proyecto emisor, si se trata de obra nueva o de un edificio catalogado, estado de tramitación y/o ejecución. En caso de obra nueva superficie y altura a construir. En ambos casos remita expedientes.</w:t>
      </w:r>
      <w:r w:rsidRPr="00584F97">
        <w:rPr>
          <w:rFonts w:cs="Times New Roman"/>
          <w:i/>
        </w:rPr>
        <w:br/>
        <w:t>Características del proyecto receptor, estado de tramitación y/o ejecución, superficie y altura a construir. Remita expedientes.</w:t>
      </w:r>
      <w:r w:rsidRPr="00584F97">
        <w:rPr>
          <w:rFonts w:cs="Times New Roman"/>
          <w:i/>
        </w:rPr>
        <w:br/>
        <w:t>Capacidad constructiva adicional solicitada, aprobada y/o transferida.</w:t>
      </w:r>
      <w:r w:rsidRPr="00584F97">
        <w:rPr>
          <w:rFonts w:cs="Times New Roman"/>
          <w:i/>
        </w:rPr>
        <w:br/>
        <w:t xml:space="preserve">Usos previstos del proyecto. </w:t>
      </w:r>
      <w:r w:rsidRPr="00584F97">
        <w:rPr>
          <w:rFonts w:cs="Times New Roman"/>
          <w:i/>
        </w:rPr>
        <w:br/>
        <w:t xml:space="preserve">Número de expediente, fecha de inicio y estado de tramitación. </w:t>
      </w:r>
      <w:r w:rsidRPr="00584F97">
        <w:rPr>
          <w:rFonts w:cs="Times New Roman"/>
          <w:i/>
        </w:rPr>
        <w:br/>
        <w:t>Identificación de los profesionales intervinientes.</w:t>
      </w:r>
      <w:r w:rsidRPr="00584F97">
        <w:rPr>
          <w:rFonts w:cs="Times New Roman"/>
          <w:i/>
        </w:rPr>
        <w:br/>
        <w:t>Actos administrativos emitidos.</w:t>
      </w:r>
      <w:r w:rsidRPr="00584F97">
        <w:rPr>
          <w:rFonts w:cs="Times New Roman"/>
          <w:i/>
        </w:rPr>
        <w:br/>
        <w:t>Plazos de tramitación.</w:t>
      </w:r>
      <w:r w:rsidRPr="00584F97">
        <w:rPr>
          <w:rFonts w:cs="Times New Roman"/>
          <w:i/>
        </w:rPr>
        <w:br/>
        <w:t>Todo otro dato que permita evaluar el funcionamiento del instrumento, en el marco del Artículo 3° del Decreto Nº129/25.</w:t>
      </w:r>
      <w:r w:rsidRPr="00584F97">
        <w:rPr>
          <w:rFonts w:cs="Times New Roman"/>
          <w:i/>
        </w:rPr>
        <w:br/>
      </w:r>
      <w:r w:rsidRPr="00027F82">
        <w:rPr>
          <w:rFonts w:cs="Times New Roman"/>
        </w:rPr>
        <w:br/>
      </w:r>
      <w:r w:rsidRPr="00027F82">
        <w:rPr>
          <w:rFonts w:cs="Times New Roman"/>
          <w:b/>
        </w:rPr>
        <w:t>e) Trazabilidad administrativa</w:t>
      </w:r>
      <w:r w:rsidRPr="00027F82">
        <w:rPr>
          <w:rFonts w:cs="Times New Roman"/>
          <w:b/>
        </w:rPr>
        <w:br/>
      </w:r>
    </w:p>
    <w:p w:rsidR="00C42A27" w:rsidRDefault="00F71838" w:rsidP="00C42A27">
      <w:pPr>
        <w:rPr>
          <w:rFonts w:cstheme="minorHAnsi"/>
        </w:rPr>
      </w:pPr>
      <w:r w:rsidRPr="00027F82">
        <w:rPr>
          <w:rFonts w:cs="Times New Roman"/>
        </w:rPr>
        <w:t>En virtud de lo dispuesto por el Decreto N.º 58/26, mediante el cual se suprimió la Subsecretaría de Gestión Urbana y se creó la Secretaría de Gestión y Desarrollo Urbano, dependiente de la Jefatura de Gabinete de Ministros, informe:</w:t>
      </w:r>
      <w:r w:rsidRPr="00027F82">
        <w:rPr>
          <w:rFonts w:cs="Times New Roman"/>
        </w:rPr>
        <w:br/>
      </w:r>
      <w:r w:rsidRPr="00027F82">
        <w:rPr>
          <w:rFonts w:cs="Times New Roman"/>
        </w:rPr>
        <w:br/>
      </w:r>
      <w:r w:rsidRPr="00584F97">
        <w:rPr>
          <w:rFonts w:cs="Times New Roman"/>
          <w:i/>
        </w:rPr>
        <w:t>El circuito administrativo completo de las actuaciones vinculadas al instrumento “Capacidad Constructiva Adicional”, identificando las áreas intervinientes en cada instancia del trámite, tanto con anterioridad como con posterioridad a la modificación orgánico-funcional mencionada.</w:t>
      </w:r>
      <w:r w:rsidRPr="00584F97">
        <w:rPr>
          <w:rFonts w:cs="Times New Roman"/>
          <w:i/>
        </w:rPr>
        <w:br/>
      </w:r>
      <w:r w:rsidRPr="00584F97">
        <w:rPr>
          <w:rFonts w:cs="Times New Roman"/>
          <w:i/>
        </w:rPr>
        <w:br/>
        <w:t>Los mecanismos implementados para garantizar la continuidad administrativa, la integridad de los expedientes y la trazabilidad de las actuaciones durante el proceso de reorganización institucional.</w:t>
      </w:r>
      <w:r w:rsidRPr="00584F97">
        <w:rPr>
          <w:rFonts w:cs="Times New Roman"/>
          <w:i/>
        </w:rPr>
        <w:br/>
      </w:r>
      <w:r w:rsidRPr="00584F97">
        <w:rPr>
          <w:rFonts w:cs="Times New Roman"/>
          <w:i/>
        </w:rPr>
        <w:br/>
        <w:t>La identificación de los sistemas de gestión documental y/o plataformas digitales utilizadas, indicando eventuales modificaciones introducidas a partir del Decreto N</w:t>
      </w:r>
      <w:proofErr w:type="gramStart"/>
      <w:r w:rsidRPr="00584F97">
        <w:rPr>
          <w:rFonts w:cs="Times New Roman"/>
          <w:i/>
        </w:rPr>
        <w:t>.º</w:t>
      </w:r>
      <w:proofErr w:type="gramEnd"/>
      <w:r w:rsidRPr="00584F97">
        <w:rPr>
          <w:rFonts w:cs="Times New Roman"/>
          <w:i/>
        </w:rPr>
        <w:t xml:space="preserve"> 58/26.</w:t>
      </w:r>
      <w:r w:rsidRPr="00584F97">
        <w:rPr>
          <w:rFonts w:cs="Times New Roman"/>
          <w:i/>
        </w:rPr>
        <w:br/>
      </w:r>
      <w:r w:rsidRPr="00584F97">
        <w:rPr>
          <w:rFonts w:cs="Times New Roman"/>
          <w:i/>
        </w:rPr>
        <w:br/>
        <w:t>Los criterios adoptados para la registración, seguimiento y control de las actuaciones, detallando responsables funcionales en cada etapa del proceso.</w:t>
      </w:r>
      <w:r w:rsidRPr="00584F97">
        <w:rPr>
          <w:rFonts w:cs="Times New Roman"/>
          <w:i/>
        </w:rPr>
        <w:br/>
      </w:r>
      <w:r w:rsidRPr="00584F97">
        <w:rPr>
          <w:rFonts w:cs="Times New Roman"/>
          <w:i/>
        </w:rPr>
        <w:br/>
        <w:t>Remita diagrama de flujo del procedimiento administrativo vigente y anterior (pre y post decreto), con identificación de puntos de control.</w:t>
      </w:r>
      <w:r w:rsidRPr="00584F97">
        <w:rPr>
          <w:rFonts w:cs="Times New Roman"/>
          <w:i/>
        </w:rPr>
        <w:br/>
      </w:r>
      <w:r w:rsidRPr="00584F97">
        <w:rPr>
          <w:rFonts w:cs="Times New Roman"/>
          <w:i/>
        </w:rPr>
        <w:br/>
      </w:r>
      <w:r w:rsidRPr="00027F82">
        <w:rPr>
          <w:rFonts w:cs="Times New Roman"/>
          <w:b/>
        </w:rPr>
        <w:t>e) Publicidad y acceso a la información</w:t>
      </w:r>
      <w:r w:rsidRPr="00027F82">
        <w:rPr>
          <w:rFonts w:cs="Times New Roman"/>
          <w:b/>
        </w:rPr>
        <w:br/>
      </w:r>
      <w:r w:rsidR="00C42A27" w:rsidRPr="00027F82">
        <w:rPr>
          <w:rFonts w:cs="Times New Roman"/>
        </w:rPr>
        <w:br/>
      </w:r>
      <w:r w:rsidRPr="00584F97">
        <w:rPr>
          <w:rFonts w:cs="Times New Roman"/>
          <w:i/>
        </w:rPr>
        <w:t>Informe los mecanismos implementados para garantizar la publicidad, transparencia y acceso a la información relativa a la aplicación del instrumento, indicando si existe un registro público actualizado y de acceso abierto.</w:t>
      </w:r>
      <w:r w:rsidRPr="00584F97">
        <w:rPr>
          <w:rFonts w:cs="Times New Roman"/>
          <w:i/>
        </w:rPr>
        <w:br/>
      </w:r>
      <w:r w:rsidRPr="00027F82">
        <w:rPr>
          <w:rFonts w:cs="Times New Roman"/>
        </w:rPr>
        <w:lastRenderedPageBreak/>
        <w:br/>
      </w:r>
      <w:r w:rsidR="00C42A27" w:rsidRPr="00027F82">
        <w:rPr>
          <w:rFonts w:cs="Times New Roman"/>
          <w:color w:val="000000"/>
        </w:rPr>
        <w:br/>
      </w:r>
      <w:r w:rsidRPr="00027F82">
        <w:rPr>
          <w:rFonts w:cs="Times New Roman"/>
          <w:color w:val="000000"/>
        </w:rPr>
        <w:t xml:space="preserve">Sala de la Comisión: </w:t>
      </w:r>
      <w:r w:rsidR="00027F82" w:rsidRPr="00027F82">
        <w:rPr>
          <w:rFonts w:cs="Times New Roman"/>
          <w:color w:val="000000"/>
        </w:rPr>
        <w:t>02</w:t>
      </w:r>
      <w:r w:rsidRPr="00027F82">
        <w:rPr>
          <w:rFonts w:cs="Times New Roman"/>
          <w:color w:val="000000"/>
        </w:rPr>
        <w:t xml:space="preserve"> de </w:t>
      </w:r>
      <w:r w:rsidR="00027F82" w:rsidRPr="00027F82">
        <w:rPr>
          <w:rFonts w:cs="Times New Roman"/>
          <w:color w:val="000000"/>
        </w:rPr>
        <w:t>Junio</w:t>
      </w:r>
      <w:r w:rsidRPr="00027F82">
        <w:rPr>
          <w:rFonts w:cs="Times New Roman"/>
          <w:color w:val="000000"/>
        </w:rPr>
        <w:t xml:space="preserve"> de 2026 </w:t>
      </w:r>
      <w:r w:rsidR="00C42A27" w:rsidRPr="00027F82">
        <w:rPr>
          <w:rFonts w:cs="Times New Roman"/>
          <w:b/>
        </w:rPr>
        <w:br/>
      </w:r>
      <w:r w:rsidRPr="00027F82">
        <w:rPr>
          <w:rFonts w:cs="Times New Roman"/>
        </w:rPr>
        <w:t>Por la Comisión de Planeamiento Urbano</w:t>
      </w:r>
      <w:r w:rsidR="00C42A27" w:rsidRPr="00C42A27">
        <w:rPr>
          <w:rFonts w:ascii="Times New Roman" w:hAnsi="Times New Roman" w:cs="Times New Roman"/>
        </w:rPr>
        <w:br/>
      </w:r>
      <w:r w:rsidR="00C42A27" w:rsidRPr="00C42A27">
        <w:rPr>
          <w:rFonts w:ascii="Times New Roman" w:hAnsi="Times New Roman" w:cs="Times New Roman"/>
        </w:rPr>
        <w:br/>
      </w:r>
      <w:r w:rsidR="00C42A27">
        <w:rPr>
          <w:rFonts w:cstheme="minorHAnsi"/>
        </w:rPr>
        <w:br/>
      </w:r>
      <w:r w:rsidR="00C42A27">
        <w:rPr>
          <w:rFonts w:cstheme="minorHAnsi"/>
        </w:rPr>
        <w:br/>
      </w:r>
    </w:p>
    <w:p w:rsidR="00C42A27" w:rsidRPr="00C42A27" w:rsidRDefault="00C42A27" w:rsidP="00C42A27">
      <w:pPr>
        <w:jc w:val="center"/>
      </w:pPr>
      <w:r>
        <w:rPr>
          <w:rFonts w:cstheme="minorHAnsi"/>
        </w:rPr>
        <w:br/>
      </w:r>
      <w:r w:rsidRPr="001E7D29">
        <w:rPr>
          <w:rFonts w:cstheme="minorHAnsi"/>
        </w:rPr>
        <w:t xml:space="preserve">Edgardo </w:t>
      </w:r>
      <w:proofErr w:type="spellStart"/>
      <w:r w:rsidRPr="001E7D29">
        <w:rPr>
          <w:rFonts w:cstheme="minorHAnsi"/>
        </w:rPr>
        <w:t>Alifraco</w:t>
      </w:r>
      <w:proofErr w:type="spellEnd"/>
    </w:p>
    <w:p w:rsidR="00C42A27" w:rsidRPr="005560EA" w:rsidRDefault="00C42A27" w:rsidP="00C42A27">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C42A27" w:rsidRPr="00C42A27" w:rsidTr="00765617">
        <w:trPr>
          <w:trHeight w:val="1007"/>
        </w:trPr>
        <w:tc>
          <w:tcPr>
            <w:tcW w:w="4322" w:type="dxa"/>
          </w:tcPr>
          <w:p w:rsidR="00C42A27" w:rsidRPr="00C42A27" w:rsidRDefault="00C42A27" w:rsidP="00C42A27">
            <w:pPr>
              <w:jc w:val="center"/>
              <w:rPr>
                <w:rFonts w:ascii="Times New Roman" w:eastAsia="Times New Roman" w:hAnsi="Times New Roman" w:cs="Times New Roman"/>
                <w:color w:val="000000"/>
                <w:sz w:val="24"/>
                <w:szCs w:val="24"/>
              </w:rPr>
            </w:pPr>
          </w:p>
          <w:p w:rsidR="00C42A27" w:rsidRPr="00C42A27" w:rsidRDefault="00C42A27" w:rsidP="00C42A27">
            <w:pPr>
              <w:jc w:val="center"/>
              <w:rPr>
                <w:rFonts w:ascii="Times New Roman" w:eastAsia="Times New Roman" w:hAnsi="Times New Roman" w:cs="Times New Roman"/>
                <w:color w:val="000000"/>
                <w:sz w:val="24"/>
                <w:szCs w:val="24"/>
              </w:rPr>
            </w:pPr>
          </w:p>
          <w:p w:rsidR="00C42A27" w:rsidRPr="00C42A27" w:rsidRDefault="00C42A27" w:rsidP="00C42A2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Rossen</w:t>
            </w:r>
            <w:proofErr w:type="spellEnd"/>
            <w:r w:rsidRPr="00C42A27">
              <w:rPr>
                <w:rFonts w:ascii="Times New Roman" w:eastAsia="Times New Roman" w:hAnsi="Times New Roman" w:cs="Times New Roman"/>
                <w:color w:val="000000"/>
                <w:sz w:val="24"/>
                <w:szCs w:val="24"/>
              </w:rPr>
              <w:t>, Bárbara</w:t>
            </w:r>
          </w:p>
          <w:p w:rsidR="00C42A27" w:rsidRPr="00C42A27" w:rsidRDefault="00C42A27" w:rsidP="00C42A2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Vicepresidenta 1ra</w:t>
            </w:r>
          </w:p>
        </w:tc>
        <w:tc>
          <w:tcPr>
            <w:tcW w:w="4322" w:type="dxa"/>
          </w:tcPr>
          <w:p w:rsidR="00C42A27" w:rsidRPr="00C42A27" w:rsidRDefault="00C42A27" w:rsidP="00C42A27">
            <w:pPr>
              <w:jc w:val="center"/>
              <w:rPr>
                <w:rFonts w:ascii="Times New Roman" w:eastAsia="Times New Roman" w:hAnsi="Times New Roman" w:cs="Times New Roman"/>
                <w:color w:val="000000"/>
                <w:sz w:val="24"/>
                <w:szCs w:val="24"/>
              </w:rPr>
            </w:pPr>
          </w:p>
          <w:p w:rsidR="00C42A27" w:rsidRPr="00C42A27" w:rsidRDefault="00C42A27" w:rsidP="00C42A27">
            <w:pPr>
              <w:jc w:val="center"/>
              <w:rPr>
                <w:rFonts w:ascii="Times New Roman" w:eastAsia="Times New Roman" w:hAnsi="Times New Roman" w:cs="Times New Roman"/>
                <w:color w:val="000000"/>
                <w:sz w:val="24"/>
                <w:szCs w:val="24"/>
              </w:rPr>
            </w:pPr>
          </w:p>
          <w:p w:rsidR="00C42A27" w:rsidRPr="00C42A27" w:rsidRDefault="00C42A27" w:rsidP="00C42A2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 xml:space="preserve">Nieto </w:t>
            </w:r>
            <w:proofErr w:type="spellStart"/>
            <w:r w:rsidRPr="00C42A27">
              <w:rPr>
                <w:rFonts w:ascii="Times New Roman" w:eastAsia="Times New Roman" w:hAnsi="Times New Roman" w:cs="Times New Roman"/>
                <w:color w:val="000000"/>
                <w:sz w:val="24"/>
                <w:szCs w:val="24"/>
              </w:rPr>
              <w:t>Dario</w:t>
            </w:r>
            <w:proofErr w:type="spellEnd"/>
          </w:p>
          <w:p w:rsidR="00C42A27" w:rsidRPr="00C42A27" w:rsidRDefault="00C42A27" w:rsidP="00C42A2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Vicepresidente 2do</w:t>
            </w:r>
          </w:p>
        </w:tc>
      </w:tr>
      <w:tr w:rsidR="00C42A27" w:rsidRPr="00C42A27" w:rsidTr="00765617">
        <w:trPr>
          <w:trHeight w:val="490"/>
        </w:trPr>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Fernandez</w:t>
            </w:r>
            <w:proofErr w:type="spellEnd"/>
            <w:r w:rsidRPr="00C42A27">
              <w:rPr>
                <w:rFonts w:ascii="Times New Roman" w:eastAsia="Times New Roman" w:hAnsi="Times New Roman" w:cs="Times New Roman"/>
                <w:color w:val="000000"/>
                <w:sz w:val="24"/>
                <w:szCs w:val="24"/>
              </w:rPr>
              <w:t xml:space="preserve"> Juan Ignacio</w:t>
            </w:r>
          </w:p>
        </w:tc>
        <w:tc>
          <w:tcPr>
            <w:tcW w:w="4322" w:type="dxa"/>
          </w:tcPr>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Barroetaveña</w:t>
            </w:r>
            <w:proofErr w:type="spellEnd"/>
            <w:r w:rsidRPr="00C42A27">
              <w:rPr>
                <w:rFonts w:ascii="Times New Roman" w:eastAsia="Times New Roman" w:hAnsi="Times New Roman" w:cs="Times New Roman"/>
                <w:color w:val="000000"/>
                <w:sz w:val="24"/>
                <w:szCs w:val="24"/>
              </w:rPr>
              <w:t xml:space="preserve"> </w:t>
            </w:r>
            <w:proofErr w:type="spellStart"/>
            <w:r w:rsidRPr="00C42A27">
              <w:rPr>
                <w:rFonts w:ascii="Times New Roman" w:eastAsia="Times New Roman" w:hAnsi="Times New Roman" w:cs="Times New Roman"/>
                <w:color w:val="000000"/>
                <w:sz w:val="24"/>
                <w:szCs w:val="24"/>
              </w:rPr>
              <w:t>Matias</w:t>
            </w:r>
            <w:proofErr w:type="spellEnd"/>
          </w:p>
        </w:tc>
      </w:tr>
      <w:tr w:rsidR="00C42A27" w:rsidRPr="00C42A27" w:rsidTr="00765617">
        <w:trPr>
          <w:trHeight w:val="490"/>
        </w:trPr>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Freire Victoria</w:t>
            </w:r>
          </w:p>
        </w:tc>
        <w:tc>
          <w:tcPr>
            <w:tcW w:w="4322" w:type="dxa"/>
          </w:tcPr>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Grillo Alejandro</w:t>
            </w:r>
          </w:p>
        </w:tc>
      </w:tr>
    </w:tbl>
    <w:p w:rsidR="00C42A27" w:rsidRPr="00C42A27" w:rsidRDefault="00C42A27" w:rsidP="00C42A27">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C42A27" w:rsidRPr="00C42A27" w:rsidTr="00765617">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Imas</w:t>
            </w:r>
            <w:proofErr w:type="spellEnd"/>
            <w:r w:rsidRPr="00C42A27">
              <w:rPr>
                <w:rFonts w:ascii="Times New Roman" w:eastAsia="Times New Roman" w:hAnsi="Times New Roman" w:cs="Times New Roman"/>
                <w:color w:val="000000"/>
                <w:sz w:val="24"/>
                <w:szCs w:val="24"/>
              </w:rPr>
              <w:t xml:space="preserve"> Silvia</w:t>
            </w:r>
          </w:p>
        </w:tc>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Modarelli</w:t>
            </w:r>
            <w:proofErr w:type="spellEnd"/>
            <w:r w:rsidRPr="00C42A27">
              <w:rPr>
                <w:rFonts w:ascii="Times New Roman" w:eastAsia="Times New Roman" w:hAnsi="Times New Roman" w:cs="Times New Roman"/>
                <w:color w:val="000000"/>
                <w:sz w:val="24"/>
                <w:szCs w:val="24"/>
              </w:rPr>
              <w:t xml:space="preserve"> Juan Pablo</w:t>
            </w:r>
          </w:p>
        </w:tc>
      </w:tr>
      <w:tr w:rsidR="00C42A27" w:rsidRPr="00C42A27" w:rsidTr="00765617">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Mollard</w:t>
            </w:r>
            <w:proofErr w:type="spellEnd"/>
            <w:r w:rsidRPr="00C42A27">
              <w:rPr>
                <w:rFonts w:ascii="Times New Roman" w:eastAsia="Times New Roman" w:hAnsi="Times New Roman" w:cs="Times New Roman"/>
                <w:color w:val="000000"/>
                <w:sz w:val="24"/>
                <w:szCs w:val="24"/>
              </w:rPr>
              <w:t xml:space="preserve"> </w:t>
            </w:r>
            <w:proofErr w:type="spellStart"/>
            <w:r w:rsidRPr="00C42A27">
              <w:rPr>
                <w:rFonts w:ascii="Times New Roman" w:eastAsia="Times New Roman" w:hAnsi="Times New Roman" w:cs="Times New Roman"/>
                <w:color w:val="000000"/>
                <w:sz w:val="24"/>
                <w:szCs w:val="24"/>
              </w:rPr>
              <w:t>Maria</w:t>
            </w:r>
            <w:proofErr w:type="spellEnd"/>
            <w:r w:rsidRPr="00C42A27">
              <w:rPr>
                <w:rFonts w:ascii="Times New Roman" w:eastAsia="Times New Roman" w:hAnsi="Times New Roman" w:cs="Times New Roman"/>
                <w:color w:val="000000"/>
                <w:sz w:val="24"/>
                <w:szCs w:val="24"/>
              </w:rPr>
              <w:t xml:space="preserve"> Fernanda</w:t>
            </w:r>
          </w:p>
        </w:tc>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Nagata</w:t>
            </w:r>
            <w:proofErr w:type="spellEnd"/>
            <w:r w:rsidRPr="00C42A27">
              <w:rPr>
                <w:rFonts w:ascii="Times New Roman" w:eastAsia="Times New Roman" w:hAnsi="Times New Roman" w:cs="Times New Roman"/>
                <w:color w:val="000000"/>
                <w:sz w:val="24"/>
                <w:szCs w:val="24"/>
              </w:rPr>
              <w:t xml:space="preserve"> </w:t>
            </w:r>
            <w:proofErr w:type="spellStart"/>
            <w:r w:rsidRPr="00C42A27">
              <w:rPr>
                <w:rFonts w:ascii="Times New Roman" w:eastAsia="Times New Roman" w:hAnsi="Times New Roman" w:cs="Times New Roman"/>
                <w:color w:val="000000"/>
                <w:sz w:val="24"/>
                <w:szCs w:val="24"/>
              </w:rPr>
              <w:t>Sebastian</w:t>
            </w:r>
            <w:proofErr w:type="spellEnd"/>
          </w:p>
        </w:tc>
      </w:tr>
      <w:tr w:rsidR="00C42A27" w:rsidRPr="00C42A27" w:rsidTr="00765617">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r w:rsidRPr="00C42A27">
              <w:rPr>
                <w:rFonts w:ascii="Times New Roman" w:eastAsia="Times New Roman" w:hAnsi="Times New Roman" w:cs="Times New Roman"/>
                <w:color w:val="000000"/>
                <w:sz w:val="24"/>
                <w:szCs w:val="24"/>
              </w:rPr>
              <w:t>Neira Claudia</w:t>
            </w:r>
          </w:p>
        </w:tc>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Parera</w:t>
            </w:r>
            <w:proofErr w:type="spellEnd"/>
            <w:r w:rsidRPr="00C42A27">
              <w:rPr>
                <w:rFonts w:ascii="Times New Roman" w:eastAsia="Times New Roman" w:hAnsi="Times New Roman" w:cs="Times New Roman"/>
                <w:color w:val="000000"/>
                <w:sz w:val="24"/>
                <w:szCs w:val="24"/>
              </w:rPr>
              <w:t xml:space="preserve"> Ignacio</w:t>
            </w:r>
          </w:p>
        </w:tc>
      </w:tr>
      <w:tr w:rsidR="00C42A27" w:rsidRPr="00C42A27" w:rsidTr="00765617">
        <w:tc>
          <w:tcPr>
            <w:tcW w:w="4322" w:type="dxa"/>
          </w:tcPr>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Thourte</w:t>
            </w:r>
            <w:proofErr w:type="spellEnd"/>
            <w:r w:rsidRPr="00C42A27">
              <w:rPr>
                <w:rFonts w:ascii="Times New Roman" w:eastAsia="Times New Roman" w:hAnsi="Times New Roman" w:cs="Times New Roman"/>
                <w:color w:val="000000"/>
                <w:sz w:val="24"/>
                <w:szCs w:val="24"/>
              </w:rPr>
              <w:t xml:space="preserve"> Manuela</w:t>
            </w:r>
          </w:p>
        </w:tc>
        <w:tc>
          <w:tcPr>
            <w:tcW w:w="4322" w:type="dxa"/>
          </w:tcPr>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roofErr w:type="spellStart"/>
            <w:r w:rsidRPr="00C42A27">
              <w:rPr>
                <w:rFonts w:ascii="Times New Roman" w:eastAsia="Times New Roman" w:hAnsi="Times New Roman" w:cs="Times New Roman"/>
                <w:color w:val="000000"/>
                <w:sz w:val="24"/>
                <w:szCs w:val="24"/>
              </w:rPr>
              <w:t>Villafruela</w:t>
            </w:r>
            <w:proofErr w:type="spellEnd"/>
            <w:r w:rsidRPr="00C42A27">
              <w:rPr>
                <w:rFonts w:ascii="Times New Roman" w:eastAsia="Times New Roman" w:hAnsi="Times New Roman" w:cs="Times New Roman"/>
                <w:color w:val="000000"/>
                <w:sz w:val="24"/>
                <w:szCs w:val="24"/>
              </w:rPr>
              <w:t xml:space="preserve"> </w:t>
            </w:r>
            <w:proofErr w:type="spellStart"/>
            <w:r w:rsidRPr="00C42A27">
              <w:rPr>
                <w:rFonts w:ascii="Times New Roman" w:eastAsia="Times New Roman" w:hAnsi="Times New Roman" w:cs="Times New Roman"/>
                <w:color w:val="000000"/>
                <w:sz w:val="24"/>
                <w:szCs w:val="24"/>
              </w:rPr>
              <w:t>Gimena</w:t>
            </w:r>
            <w:proofErr w:type="spellEnd"/>
            <w:r w:rsidRPr="00C42A27">
              <w:rPr>
                <w:rFonts w:ascii="Times New Roman" w:eastAsia="Times New Roman" w:hAnsi="Times New Roman" w:cs="Times New Roman"/>
                <w:color w:val="000000"/>
                <w:sz w:val="24"/>
                <w:szCs w:val="24"/>
              </w:rPr>
              <w:br/>
            </w:r>
            <w:r w:rsidRPr="00C42A27">
              <w:rPr>
                <w:rFonts w:ascii="Times New Roman" w:eastAsia="Times New Roman" w:hAnsi="Times New Roman" w:cs="Times New Roman"/>
                <w:color w:val="000000"/>
                <w:sz w:val="24"/>
                <w:szCs w:val="24"/>
              </w:rPr>
              <w:br/>
            </w:r>
            <w:r w:rsidRPr="00C42A27">
              <w:rPr>
                <w:rFonts w:ascii="Times New Roman" w:eastAsia="Times New Roman" w:hAnsi="Times New Roman" w:cs="Times New Roman"/>
                <w:color w:val="000000"/>
                <w:sz w:val="24"/>
                <w:szCs w:val="24"/>
              </w:rPr>
              <w:br/>
            </w:r>
            <w:r w:rsidRPr="00C42A27">
              <w:rPr>
                <w:rFonts w:ascii="Times New Roman" w:eastAsia="Times New Roman" w:hAnsi="Times New Roman" w:cs="Times New Roman"/>
                <w:color w:val="000000"/>
                <w:sz w:val="24"/>
                <w:szCs w:val="24"/>
              </w:rPr>
              <w:br/>
            </w:r>
            <w:r w:rsidRPr="00C42A27">
              <w:rPr>
                <w:rFonts w:ascii="Times New Roman" w:eastAsia="Times New Roman" w:hAnsi="Times New Roman" w:cs="Times New Roman"/>
                <w:color w:val="000000"/>
                <w:sz w:val="24"/>
                <w:szCs w:val="24"/>
              </w:rPr>
              <w:br/>
            </w:r>
          </w:p>
          <w:p w:rsidR="00C42A27" w:rsidRPr="00C42A27" w:rsidRDefault="00C42A27" w:rsidP="00765617">
            <w:pPr>
              <w:jc w:val="center"/>
              <w:rPr>
                <w:rFonts w:ascii="Times New Roman" w:eastAsia="Times New Roman" w:hAnsi="Times New Roman" w:cs="Times New Roman"/>
                <w:color w:val="000000"/>
                <w:sz w:val="24"/>
                <w:szCs w:val="24"/>
              </w:rPr>
            </w:pPr>
          </w:p>
          <w:p w:rsidR="00C42A27" w:rsidRPr="00C42A27" w:rsidRDefault="00C42A27" w:rsidP="00765617">
            <w:pPr>
              <w:jc w:val="center"/>
              <w:rPr>
                <w:rFonts w:ascii="Times New Roman" w:eastAsia="Times New Roman" w:hAnsi="Times New Roman" w:cs="Times New Roman"/>
                <w:color w:val="000000"/>
                <w:sz w:val="24"/>
                <w:szCs w:val="24"/>
              </w:rPr>
            </w:pPr>
          </w:p>
        </w:tc>
      </w:tr>
    </w:tbl>
    <w:p w:rsidR="00AF6364" w:rsidRPr="00C42A27" w:rsidRDefault="001934C8" w:rsidP="001934C8">
      <w:pPr>
        <w:rPr>
          <w:b/>
        </w:rPr>
      </w:pPr>
      <w:r>
        <w:br/>
      </w:r>
    </w:p>
    <w:sectPr w:rsidR="00AF6364" w:rsidRPr="00C42A27"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C9" w:rsidRDefault="00F810C9" w:rsidP="00AF6364">
      <w:pPr>
        <w:spacing w:after="0" w:line="240" w:lineRule="auto"/>
      </w:pPr>
      <w:r>
        <w:separator/>
      </w:r>
    </w:p>
  </w:endnote>
  <w:endnote w:type="continuationSeparator" w:id="0">
    <w:p w:rsidR="00F810C9" w:rsidRDefault="00F810C9"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DE" w:rsidRDefault="00D309D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027F82" w:rsidRPr="00027F82">
        <w:rPr>
          <w:noProof/>
          <w:color w:val="333333"/>
          <w:sz w:val="20"/>
        </w:rPr>
        <w:t>21/5/2026 14:31:00</w:t>
      </w:r>
    </w:fldSimple>
    <w:r w:rsidRPr="001C19C4">
      <w:rPr>
        <w:color w:val="333333"/>
        <w:sz w:val="20"/>
      </w:rPr>
      <w:t xml:space="preserve">  -  Cantidad de caracteres: </w:t>
    </w:r>
    <w:fldSimple w:instr=" NUMCHARS  \* MERGEFORMAT ">
      <w:r w:rsidR="00D309DE" w:rsidRPr="00D309DE">
        <w:rPr>
          <w:noProof/>
          <w:color w:val="333333"/>
          <w:sz w:val="20"/>
        </w:rPr>
        <w:t>8010</w:t>
      </w:r>
    </w:fldSimple>
    <w:r w:rsidRPr="001C19C4">
      <w:rPr>
        <w:color w:val="333333"/>
        <w:sz w:val="20"/>
      </w:rPr>
      <w:t xml:space="preserve"> - Cantidad de palabras: </w:t>
    </w:r>
    <w:fldSimple w:instr=" NUMWORDS  \* MERGEFORMAT ">
      <w:r w:rsidR="00D309DE" w:rsidRPr="00D309DE">
        <w:rPr>
          <w:noProof/>
          <w:color w:val="333333"/>
          <w:sz w:val="20"/>
        </w:rPr>
        <w:t>1286</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E00C2B" w:rsidRPr="001C19C4">
      <w:rPr>
        <w:rStyle w:val="Nmerodepgina"/>
        <w:color w:val="333333"/>
      </w:rPr>
      <w:fldChar w:fldCharType="begin"/>
    </w:r>
    <w:r w:rsidRPr="001C19C4">
      <w:rPr>
        <w:rStyle w:val="Nmerodepgina"/>
        <w:color w:val="333333"/>
      </w:rPr>
      <w:instrText xml:space="preserve"> PAGE </w:instrText>
    </w:r>
    <w:r w:rsidR="00E00C2B" w:rsidRPr="001C19C4">
      <w:rPr>
        <w:rStyle w:val="Nmerodepgina"/>
        <w:color w:val="333333"/>
      </w:rPr>
      <w:fldChar w:fldCharType="separate"/>
    </w:r>
    <w:r w:rsidR="00584F97">
      <w:rPr>
        <w:rStyle w:val="Nmerodepgina"/>
        <w:noProof/>
        <w:color w:val="333333"/>
      </w:rPr>
      <w:t>1</w:t>
    </w:r>
    <w:r w:rsidR="00E00C2B" w:rsidRPr="001C19C4">
      <w:rPr>
        <w:rStyle w:val="Nmerodepgina"/>
        <w:color w:val="333333"/>
      </w:rPr>
      <w:fldChar w:fldCharType="end"/>
    </w:r>
    <w:r w:rsidRPr="001C19C4">
      <w:rPr>
        <w:rStyle w:val="Nmerodepgina"/>
        <w:color w:val="333333"/>
      </w:rPr>
      <w:t>/</w:t>
    </w:r>
    <w:fldSimple w:instr=" NUMPAGES  \* MERGEFORMAT ">
      <w:r w:rsidR="00584F97">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DE" w:rsidRDefault="00D309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C9" w:rsidRDefault="00F810C9" w:rsidP="00AF6364">
      <w:pPr>
        <w:spacing w:after="0" w:line="240" w:lineRule="auto"/>
      </w:pPr>
      <w:r>
        <w:separator/>
      </w:r>
    </w:p>
  </w:footnote>
  <w:footnote w:type="continuationSeparator" w:id="0">
    <w:p w:rsidR="00F810C9" w:rsidRDefault="00F810C9"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DE" w:rsidRDefault="00D309D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DE" w:rsidRDefault="00D309D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934C8"/>
    <w:rsid w:val="00027F82"/>
    <w:rsid w:val="000425FE"/>
    <w:rsid w:val="001934C8"/>
    <w:rsid w:val="002B0876"/>
    <w:rsid w:val="00425C91"/>
    <w:rsid w:val="00476D68"/>
    <w:rsid w:val="004F14B4"/>
    <w:rsid w:val="005443D4"/>
    <w:rsid w:val="00584F97"/>
    <w:rsid w:val="00597CD1"/>
    <w:rsid w:val="00646C3C"/>
    <w:rsid w:val="006A0EE0"/>
    <w:rsid w:val="006D1BAF"/>
    <w:rsid w:val="006E4861"/>
    <w:rsid w:val="0072782F"/>
    <w:rsid w:val="00746F04"/>
    <w:rsid w:val="00785CAD"/>
    <w:rsid w:val="007B4628"/>
    <w:rsid w:val="007D5575"/>
    <w:rsid w:val="00813615"/>
    <w:rsid w:val="0081386C"/>
    <w:rsid w:val="00887FEC"/>
    <w:rsid w:val="008B788B"/>
    <w:rsid w:val="009A4135"/>
    <w:rsid w:val="00AF3B91"/>
    <w:rsid w:val="00AF6364"/>
    <w:rsid w:val="00B24DD0"/>
    <w:rsid w:val="00C33CB5"/>
    <w:rsid w:val="00C42A27"/>
    <w:rsid w:val="00C60B5C"/>
    <w:rsid w:val="00D309DE"/>
    <w:rsid w:val="00DA6887"/>
    <w:rsid w:val="00DB479F"/>
    <w:rsid w:val="00E00C2B"/>
    <w:rsid w:val="00F47AFC"/>
    <w:rsid w:val="00F71838"/>
    <w:rsid w:val="00F810C9"/>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D4"/>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8B788B"/>
    <w:pPr>
      <w:spacing w:after="0" w:line="240" w:lineRule="auto"/>
      <w:jc w:val="both"/>
    </w:pPr>
    <w:rPr>
      <w:rFonts w:ascii="Times New Roman" w:eastAsia="Times New Roman" w:hAnsi="Times New Roman" w:cs="Times New Roman"/>
      <w:kern w:val="0"/>
      <w:sz w:val="24"/>
      <w:szCs w:val="24"/>
      <w:lang w:val="es-ES" w:eastAsia="es-ES"/>
    </w:rPr>
  </w:style>
  <w:style w:type="table" w:styleId="Tablaconcuadrcula">
    <w:name w:val="Table Grid"/>
    <w:basedOn w:val="Tablanormal"/>
    <w:uiPriority w:val="59"/>
    <w:rsid w:val="00C42A27"/>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curto\Downloads\07f0fc1a-9d18-463d-85d1-fd69b4105792%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(2)</Template>
  <TotalTime>47</TotalTime>
  <Pages>4</Pages>
  <Words>1414</Words>
  <Characters>8079</Characters>
  <Application>Microsoft Office Word</Application>
  <DocSecurity>0</DocSecurity>
  <Lines>224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cacurto</dc:creator>
  <cp:lastModifiedBy>mapelay</cp:lastModifiedBy>
  <cp:revision>3</cp:revision>
  <cp:lastPrinted>2024-04-06T03:02:00Z</cp:lastPrinted>
  <dcterms:created xsi:type="dcterms:W3CDTF">2026-05-21T16:48:00Z</dcterms:created>
  <dcterms:modified xsi:type="dcterms:W3CDTF">2026-05-29T14:52:00Z</dcterms:modified>
</cp:coreProperties>
</file>