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4E3B8" w14:textId="77777777" w:rsidR="00E80367" w:rsidRPr="00E80367" w:rsidRDefault="00E80367" w:rsidP="00E80367">
      <w:pPr>
        <w:spacing w:after="0" w:line="240" w:lineRule="auto"/>
        <w:jc w:val="right"/>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i/>
          <w:iCs/>
          <w:color w:val="000000"/>
          <w:kern w:val="0"/>
          <w:sz w:val="24"/>
          <w:szCs w:val="24"/>
          <w:lang w:val="es-ES" w:eastAsia="es-ES"/>
        </w:rPr>
        <w:t xml:space="preserve">Ref. Expediente </w:t>
      </w:r>
      <w:proofErr w:type="spellStart"/>
      <w:r w:rsidRPr="00E80367">
        <w:rPr>
          <w:rFonts w:ascii="Times New Roman" w:eastAsia="Times New Roman" w:hAnsi="Times New Roman" w:cs="Times New Roman"/>
          <w:i/>
          <w:iCs/>
          <w:color w:val="000000"/>
          <w:kern w:val="0"/>
          <w:sz w:val="24"/>
          <w:szCs w:val="24"/>
          <w:lang w:val="es-ES" w:eastAsia="es-ES"/>
        </w:rPr>
        <w:t>Nº</w:t>
      </w:r>
      <w:proofErr w:type="spellEnd"/>
      <w:r w:rsidRPr="00E80367">
        <w:rPr>
          <w:rFonts w:ascii="Times New Roman" w:eastAsia="Times New Roman" w:hAnsi="Times New Roman" w:cs="Times New Roman"/>
          <w:i/>
          <w:iCs/>
          <w:color w:val="000000"/>
          <w:kern w:val="0"/>
          <w:sz w:val="24"/>
          <w:szCs w:val="24"/>
          <w:lang w:val="es-ES" w:eastAsia="es-ES"/>
        </w:rPr>
        <w:t xml:space="preserve"> 80-J-2025 y </w:t>
      </w:r>
      <w:proofErr w:type="spellStart"/>
      <w:r w:rsidRPr="00E80367">
        <w:rPr>
          <w:rFonts w:ascii="Times New Roman" w:eastAsia="Times New Roman" w:hAnsi="Times New Roman" w:cs="Times New Roman"/>
          <w:i/>
          <w:iCs/>
          <w:color w:val="000000"/>
          <w:kern w:val="0"/>
          <w:sz w:val="24"/>
          <w:szCs w:val="24"/>
          <w:lang w:val="es-ES" w:eastAsia="es-ES"/>
        </w:rPr>
        <w:t>agreg</w:t>
      </w:r>
      <w:proofErr w:type="spellEnd"/>
      <w:r w:rsidRPr="00E80367">
        <w:rPr>
          <w:rFonts w:ascii="Times New Roman" w:eastAsia="Times New Roman" w:hAnsi="Times New Roman" w:cs="Times New Roman"/>
          <w:i/>
          <w:iCs/>
          <w:color w:val="000000"/>
          <w:kern w:val="0"/>
          <w:sz w:val="24"/>
          <w:szCs w:val="24"/>
          <w:lang w:val="es-ES" w:eastAsia="es-ES"/>
        </w:rPr>
        <w:t>. Nº 288-D-2026</w:t>
      </w:r>
    </w:p>
    <w:p w14:paraId="3590BE5F"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0CE402A7" w14:textId="77777777" w:rsidR="00E80367" w:rsidRPr="00E80367" w:rsidRDefault="00E80367" w:rsidP="00E80367">
      <w:pPr>
        <w:spacing w:after="0" w:line="240" w:lineRule="auto"/>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Legislatura de la Ciudad Autónoma de Buenos Aires. </w:t>
      </w:r>
    </w:p>
    <w:p w14:paraId="224686BA"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06AB610B"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Visto:</w:t>
      </w:r>
    </w:p>
    <w:p w14:paraId="77B6A3C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4B71A9C"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shd w:val="clear" w:color="auto" w:fill="FFFFFF"/>
          <w:lang w:val="es-ES" w:eastAsia="es-ES"/>
        </w:rPr>
        <w:t>El</w:t>
      </w:r>
      <w:r w:rsidRPr="00E80367">
        <w:rPr>
          <w:rFonts w:ascii="Times New Roman" w:eastAsia="Times New Roman" w:hAnsi="Times New Roman" w:cs="Times New Roman"/>
          <w:b/>
          <w:bCs/>
          <w:color w:val="000000"/>
          <w:kern w:val="0"/>
          <w:sz w:val="24"/>
          <w:szCs w:val="24"/>
          <w:shd w:val="clear" w:color="auto" w:fill="FFFFFF"/>
          <w:lang w:val="es-ES" w:eastAsia="es-ES"/>
        </w:rPr>
        <w:t xml:space="preserve"> Expediente Nº 80-J-2025</w:t>
      </w:r>
      <w:r w:rsidRPr="00E80367">
        <w:rPr>
          <w:rFonts w:ascii="Times New Roman" w:eastAsia="Times New Roman" w:hAnsi="Times New Roman" w:cs="Times New Roman"/>
          <w:color w:val="000000"/>
          <w:kern w:val="0"/>
          <w:sz w:val="24"/>
          <w:szCs w:val="24"/>
          <w:shd w:val="clear" w:color="auto" w:fill="FFFFFF"/>
          <w:lang w:val="es-ES" w:eastAsia="es-ES"/>
        </w:rPr>
        <w:t xml:space="preserve">, de autoría del Jefe de Gobierno de la Ciudad Autónoma de Buenos Aires y el </w:t>
      </w:r>
      <w:r w:rsidRPr="00E80367">
        <w:rPr>
          <w:rFonts w:ascii="Times New Roman" w:eastAsia="Times New Roman" w:hAnsi="Times New Roman" w:cs="Times New Roman"/>
          <w:b/>
          <w:bCs/>
          <w:color w:val="000000"/>
          <w:kern w:val="0"/>
          <w:sz w:val="24"/>
          <w:szCs w:val="24"/>
          <w:shd w:val="clear" w:color="auto" w:fill="FFFFFF"/>
          <w:lang w:val="es-ES" w:eastAsia="es-ES"/>
        </w:rPr>
        <w:t>Expediente N° 288-D-2026</w:t>
      </w:r>
      <w:r w:rsidRPr="00E80367">
        <w:rPr>
          <w:rFonts w:ascii="Times New Roman" w:eastAsia="Times New Roman" w:hAnsi="Times New Roman" w:cs="Times New Roman"/>
          <w:color w:val="000000"/>
          <w:kern w:val="0"/>
          <w:sz w:val="24"/>
          <w:szCs w:val="24"/>
          <w:shd w:val="clear" w:color="auto" w:fill="FFFFFF"/>
          <w:lang w:val="es-ES" w:eastAsia="es-ES"/>
        </w:rPr>
        <w:t>, de autoría de la Diputada Ramírez, María del Pilar; ambos de Ley,  cuyo objeto es modificar los artículos 91 y 92 del Código Contravencional de la Ciudad Autónoma de Buenos Aires —Ley N.° 1.472, texto ordenado por Decreto 362/24— y;</w:t>
      </w:r>
    </w:p>
    <w:p w14:paraId="6F84A76A"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4F17780E"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Considerando:</w:t>
      </w:r>
    </w:p>
    <w:p w14:paraId="52659650"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1E44641D"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la actividad contravencional de cuidado de coches sin autorización reviste, en su expresión más extendida, un carácter eminentemente económico y organizado. </w:t>
      </w:r>
    </w:p>
    <w:p w14:paraId="40C17956"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5958B90C"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su persistencia no se explica por la conducta aislada del contraventor, sino por la existencia de entramados con organización previa, distribución territorial y lógica de apropiación de espacio público y que su desarticulación efectiva exige, en consecuencia, dirigir el peso de la respuesta estatal hacia quienes coordinan, organizan y se benefician de esa estructura; </w:t>
      </w:r>
    </w:p>
    <w:p w14:paraId="3BBFF546"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4E315831"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según los últimos datos disponibles, durante el año 2025, hubo un total de 11.193 contravenciones ingresadas (incluye todos los tipos contravencionales): 8779 corresponden al Art. 91 (tipo simple);  2414 al Art. 92 (eventos masivos y otros) y 0 al Art. 93 (connivencia policial), ya que no hay registros. No existen contravenciones con sentencia para todos los tipos de la categoría;</w:t>
      </w:r>
    </w:p>
    <w:p w14:paraId="561140D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6EF26228"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por otro lado, 2024 y 2025 fueron años con picos históricos de contravenciones ingresadas por el tema, con más de 12.000 y 11.000 contravenciones respectivamente. Sin embargo, no hay sentencias. En 2024 hubo sólo 10, y en 2025 ninguna.</w:t>
      </w:r>
    </w:p>
    <w:p w14:paraId="63AC8CB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6DA04ABC"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esta brecha entre la magnitud del fenómeno y la escasa activación de las figuras que apuntan a sus responsables principales evidencia que el marco normativo vigente y principalmente la política desplegada frente a la actividad, no está alcanzando a quienes sostienen el entramado sino a personas no organizadas que no son pasibles de sanciones por la situación de necesidad en la que se encuentran;</w:t>
      </w:r>
    </w:p>
    <w:p w14:paraId="395FF5D9"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16760DF"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en este marco, hemos presentado el proyecto de ley (</w:t>
      </w:r>
      <w:proofErr w:type="spellStart"/>
      <w:r w:rsidRPr="00E80367">
        <w:rPr>
          <w:rFonts w:ascii="Times New Roman" w:eastAsia="Times New Roman" w:hAnsi="Times New Roman" w:cs="Times New Roman"/>
          <w:color w:val="000000"/>
          <w:kern w:val="0"/>
          <w:sz w:val="24"/>
          <w:szCs w:val="24"/>
          <w:lang w:val="es-ES" w:eastAsia="es-ES"/>
        </w:rPr>
        <w:t>Exp</w:t>
      </w:r>
      <w:proofErr w:type="spellEnd"/>
      <w:r w:rsidRPr="00E80367">
        <w:rPr>
          <w:rFonts w:ascii="Times New Roman" w:eastAsia="Times New Roman" w:hAnsi="Times New Roman" w:cs="Times New Roman"/>
          <w:color w:val="000000"/>
          <w:kern w:val="0"/>
          <w:sz w:val="24"/>
          <w:szCs w:val="24"/>
          <w:lang w:val="es-ES" w:eastAsia="es-ES"/>
        </w:rPr>
        <w:t xml:space="preserve"> </w:t>
      </w:r>
      <w:proofErr w:type="spellStart"/>
      <w:r w:rsidRPr="00E80367">
        <w:rPr>
          <w:rFonts w:ascii="Times New Roman" w:eastAsia="Times New Roman" w:hAnsi="Times New Roman" w:cs="Times New Roman"/>
          <w:color w:val="000000"/>
          <w:kern w:val="0"/>
          <w:sz w:val="24"/>
          <w:szCs w:val="24"/>
          <w:lang w:val="es-ES" w:eastAsia="es-ES"/>
        </w:rPr>
        <w:t>N°</w:t>
      </w:r>
      <w:proofErr w:type="spellEnd"/>
      <w:r w:rsidRPr="00E80367">
        <w:rPr>
          <w:rFonts w:ascii="Times New Roman" w:eastAsia="Times New Roman" w:hAnsi="Times New Roman" w:cs="Times New Roman"/>
          <w:color w:val="000000"/>
          <w:kern w:val="0"/>
          <w:sz w:val="24"/>
          <w:szCs w:val="24"/>
          <w:lang w:val="es-ES" w:eastAsia="es-ES"/>
        </w:rPr>
        <w:t xml:space="preserve"> 1802-D-2026) para modificar el Código Contravencional de la Ciudad Autónoma de Buenos Aires. </w:t>
      </w:r>
      <w:r w:rsidRPr="00E80367">
        <w:rPr>
          <w:rFonts w:ascii="Times New Roman" w:eastAsia="Times New Roman" w:hAnsi="Times New Roman" w:cs="Times New Roman"/>
          <w:color w:val="000000"/>
          <w:kern w:val="0"/>
          <w:sz w:val="24"/>
          <w:szCs w:val="24"/>
          <w:lang w:val="es-ES" w:eastAsia="es-ES"/>
        </w:rPr>
        <w:br/>
      </w:r>
      <w:r w:rsidRPr="00E80367">
        <w:rPr>
          <w:rFonts w:ascii="Times New Roman" w:eastAsia="Times New Roman" w:hAnsi="Times New Roman" w:cs="Times New Roman"/>
          <w:color w:val="000000"/>
          <w:kern w:val="0"/>
          <w:sz w:val="24"/>
          <w:szCs w:val="24"/>
          <w:lang w:val="es-ES" w:eastAsia="es-ES"/>
        </w:rPr>
        <w:br/>
      </w:r>
    </w:p>
    <w:p w14:paraId="65FC1916"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cuando exista organización previa, el proyecto distingue dos niveles de responsabilidad con sanciones claramente diferenciadas y escalonadas. Para los partícipes: se prevé una sanción de 5 a 15 días de arresto —en línea con la Ley vigente—. Para jefes, coordinadores y organizadores: la sanción asciende de 45 a 60 días de arresto, lo que supone un mínimo tres veces superior al máximo de los partícipes, en razón de las propias características distintivas de su participación;</w:t>
      </w:r>
    </w:p>
    <w:p w14:paraId="135B452D"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2F797D35"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por otro lado, el artículo 93° constituye uno de los ejes más relevantes de la reforma. La connivencia de algunos funcionarios policiales con el desarrollo de esta actividad es una condición que permite la reproducción de la actividad organizada en el territorio. Sin abordar esta dimensión, cualquier endurecimiento de las sanciones contravencionales tendrá un impacto limitado; </w:t>
      </w:r>
    </w:p>
    <w:p w14:paraId="62C51406"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D9E05BE"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lastRenderedPageBreak/>
        <w:t>Que debe tenerse en cuenta, asimismo, que cuando la actividad ilegal es facilitada por sectores de nuestra fuerza de seguridad debe ser sancionada con firmeza y ejemplaridad porque deslegitima a los policías que cumplen honestamente su función policial; </w:t>
      </w:r>
    </w:p>
    <w:p w14:paraId="724F2283"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60EBE948"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la propuesta amplía el alcance del tipo al incluir expresamente las conductas omisivas y, adicionalmente, cuando el hecho no constituya delito autónomo, el funcionario podrá ser considerado partícipe necesario de la contravención y sancionado con un mínimo no menor a 60 días de trabajos de utilidad pública o 45 días de arresto;</w:t>
      </w:r>
    </w:p>
    <w:p w14:paraId="55616C5C"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1586F345"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esta doble vía busca cerrar los espacios de impunidad que hoy permiten que la connivencia quede sin consecuencias efectivas, en tanto la actividad organizada difícilmente persista en un territorio sin alguna forma de tolerancia o facilitación por parte de quienes tienen la obligación de prevenirla; </w:t>
      </w:r>
    </w:p>
    <w:p w14:paraId="752F5C7B"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4FBC04A"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asimismo, es necesario pensar y establecer un sistema centrado en la función del cuidacoches, que organice dicha tarea dentro de un marco legal y de ordenamiento territorial y contemple el derecho al trabajo de quienes utilizan este tipo de labor como una herramienta de subsistencia;</w:t>
      </w:r>
    </w:p>
    <w:p w14:paraId="390C960C"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2E528EC"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existen experiencias en distintas ciudades de nuestro país, así como experiencias internacionales, que ya han implementado regulaciones que funcionan en el sentido de lo anteriormente planteado como en Luján, Bariloche o Montevideo; </w:t>
      </w:r>
    </w:p>
    <w:p w14:paraId="1C5FA20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1BD8AF08"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 xml:space="preserve">Que, en este contexto la Diputada Mariana </w:t>
      </w:r>
      <w:proofErr w:type="spellStart"/>
      <w:r w:rsidRPr="00E80367">
        <w:rPr>
          <w:rFonts w:ascii="Times New Roman" w:eastAsia="Times New Roman" w:hAnsi="Times New Roman" w:cs="Times New Roman"/>
          <w:color w:val="000000"/>
          <w:kern w:val="0"/>
          <w:sz w:val="24"/>
          <w:szCs w:val="24"/>
          <w:lang w:val="es-ES" w:eastAsia="es-ES"/>
        </w:rPr>
        <w:t>Gonzalez</w:t>
      </w:r>
      <w:proofErr w:type="spellEnd"/>
      <w:r w:rsidRPr="00E80367">
        <w:rPr>
          <w:rFonts w:ascii="Times New Roman" w:eastAsia="Times New Roman" w:hAnsi="Times New Roman" w:cs="Times New Roman"/>
          <w:color w:val="000000"/>
          <w:kern w:val="0"/>
          <w:sz w:val="24"/>
          <w:szCs w:val="24"/>
          <w:lang w:val="es-ES" w:eastAsia="es-ES"/>
        </w:rPr>
        <w:t xml:space="preserve"> es autora del expediente N° 1806-D-2026, en el que se crea Sistema de Estacionamiento Regulado en ocasión de Eventos Masivos con Inclusión Social (en adelante SEREMIS), con el objetivo de ordenar el uso del espacio público y la circulación vehicular durante la realización de eventos de gran concurrencia, promoviendo simultáneamente la inserción sociolaboral de trabajadores y trabajadoras de la economía popular, tal como establece la Ley N° 6.376:</w:t>
      </w:r>
    </w:p>
    <w:p w14:paraId="62BF855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686C6194"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 xml:space="preserve">Que en la convicción de que para luchar contra el uso indebido del espacio público y los negocios ilegales es tarea fundamental del Estado investigar y perseguir a los jefes y organizadores de estas estructuras mafiosas; a la vez que entendemos necesario sostener una perspectiva que proponga un cuerpo normativo donde el trabajo autorizado del cuidacoches sea </w:t>
      </w:r>
      <w:proofErr w:type="spellStart"/>
      <w:r w:rsidRPr="00E80367">
        <w:rPr>
          <w:rFonts w:ascii="Times New Roman" w:eastAsia="Times New Roman" w:hAnsi="Times New Roman" w:cs="Times New Roman"/>
          <w:color w:val="000000"/>
          <w:kern w:val="0"/>
          <w:sz w:val="24"/>
          <w:szCs w:val="24"/>
          <w:lang w:val="es-ES" w:eastAsia="es-ES"/>
        </w:rPr>
        <w:t>tomñado</w:t>
      </w:r>
      <w:proofErr w:type="spellEnd"/>
      <w:r w:rsidRPr="00E80367">
        <w:rPr>
          <w:rFonts w:ascii="Times New Roman" w:eastAsia="Times New Roman" w:hAnsi="Times New Roman" w:cs="Times New Roman"/>
          <w:color w:val="000000"/>
          <w:kern w:val="0"/>
          <w:sz w:val="24"/>
          <w:szCs w:val="24"/>
          <w:lang w:val="es-ES" w:eastAsia="es-ES"/>
        </w:rPr>
        <w:t xml:space="preserve"> en consideración, en particular en eventos masivos donde el ordenamiento del espacio público permite mitigar los efectos que muchas veces tienen los mismos sobre la convivencia barrial.</w:t>
      </w:r>
    </w:p>
    <w:p w14:paraId="20E86354"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0E374AF6"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el presente proyecto propone un abordaje integral de la actividad contravencional de cuidacoches que combina, de manera coherente, tres criterios: proporcionalidad en la sanción del tipo básico; escalonamiento punitivo que carga el mayor peso sobre quienes organizan y dirigen el entramado; y persecución efectiva de la connivencia policial como condición estructural para evitar la impunidad; </w:t>
      </w:r>
    </w:p>
    <w:p w14:paraId="7A4370B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08491DC4"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Que se trata, en definitiva, de una respuesta que apunta al fenómeno en su totalidad y no solo a su expresión más visible. </w:t>
      </w:r>
    </w:p>
    <w:p w14:paraId="78079BAD"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56EC33E2"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Por todo lo expuesto precedentemente, la Comisión de Justicia y la Comisión de Asuntos Constitucionales le sugieren al Cuerpo la sanción de la siguiente:</w:t>
      </w:r>
    </w:p>
    <w:p w14:paraId="3E8F3EA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1862F5BE"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277A3D89"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17977D80"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29B64AFA"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51672A7E"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7DD5FD29"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155E027C"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52921ACC"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4A1AF673" w14:textId="77777777" w:rsidR="0080524C" w:rsidRDefault="0080524C" w:rsidP="00E80367">
      <w:pPr>
        <w:spacing w:after="0" w:line="240" w:lineRule="auto"/>
        <w:jc w:val="center"/>
        <w:rPr>
          <w:rFonts w:ascii="Times New Roman" w:eastAsia="Times New Roman" w:hAnsi="Times New Roman" w:cs="Times New Roman"/>
          <w:b/>
          <w:bCs/>
          <w:color w:val="000000"/>
          <w:kern w:val="0"/>
          <w:sz w:val="24"/>
          <w:szCs w:val="24"/>
          <w:lang w:val="es-ES" w:eastAsia="es-ES"/>
        </w:rPr>
      </w:pPr>
    </w:p>
    <w:p w14:paraId="076D7AAA"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LEY</w:t>
      </w:r>
    </w:p>
    <w:p w14:paraId="0E0779EB"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4FDCDBA6"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Artículo 1°.-</w:t>
      </w:r>
      <w:r w:rsidRPr="00E80367">
        <w:rPr>
          <w:rFonts w:ascii="Times New Roman" w:eastAsia="Times New Roman" w:hAnsi="Times New Roman" w:cs="Times New Roman"/>
          <w:color w:val="000000"/>
          <w:kern w:val="0"/>
          <w:sz w:val="24"/>
          <w:szCs w:val="24"/>
          <w:lang w:val="es-ES" w:eastAsia="es-ES"/>
        </w:rPr>
        <w:t xml:space="preserve"> Sustituir el artículo 91 del Capítulo II “Uso del espacio público y privado” del Título III “Protección del uso del espacio público o privado” del Libro II “Contravenciones” del Anexo I de la Ley 1.472 - Código Contravencional de la Ciudad Autónoma de Buenos Aires (texto ordenado por Decreto 362/24), por el siguiente:</w:t>
      </w:r>
    </w:p>
    <w:p w14:paraId="66E360B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C035960"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w:t>
      </w:r>
      <w:r w:rsidRPr="00E80367">
        <w:rPr>
          <w:rFonts w:ascii="Times New Roman" w:eastAsia="Times New Roman" w:hAnsi="Times New Roman" w:cs="Times New Roman"/>
          <w:b/>
          <w:bCs/>
          <w:color w:val="000000"/>
          <w:kern w:val="0"/>
          <w:sz w:val="24"/>
          <w:szCs w:val="24"/>
          <w:lang w:val="es-ES" w:eastAsia="es-ES"/>
        </w:rPr>
        <w:t>Artículo 91 -- Prestar servicios de estacionamiento, cuidado de coches o limpieza de vidrios sin autorización legal -</w:t>
      </w:r>
      <w:r w:rsidRPr="00E80367">
        <w:rPr>
          <w:rFonts w:ascii="Times New Roman" w:eastAsia="Times New Roman" w:hAnsi="Times New Roman" w:cs="Times New Roman"/>
          <w:color w:val="000000"/>
          <w:kern w:val="0"/>
          <w:sz w:val="24"/>
          <w:szCs w:val="24"/>
          <w:lang w:val="es-ES" w:eastAsia="es-ES"/>
        </w:rPr>
        <w:t xml:space="preserve"> Quien sin autorización legal ofrece o presta en la vía pública, de manera directa o indirecta, servicios de estacionamiento, cuidado de coches o limpieza de vidrios, es sancionado con uno (1) a dos (2) días de utilidad pública o multa de cincuenta (50) a trescientas (300) unidades fijas. El magistrado interviniente informará al contraventor/a de los programas de asistencia previstos en el Ministerio de Desarrollo Humano y Hábitat u organismo que en el futuro lo reemplace.</w:t>
      </w:r>
    </w:p>
    <w:p w14:paraId="6788977B"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Cuando la conducta está basada en la desigualdad de género la pena se elevará al doble.</w:t>
      </w:r>
    </w:p>
    <w:p w14:paraId="7E284131"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 xml:space="preserve">Cuando exista organización previa, la sanción para los partícipes es de cinco (5) a quince (15) días de arresto. Para aquellos jefes/as, coordinadores/as, y/u organizadores/as, la sanción será de 45 a 60 días de </w:t>
      </w:r>
      <w:proofErr w:type="gramStart"/>
      <w:r w:rsidRPr="00E80367">
        <w:rPr>
          <w:rFonts w:ascii="Times New Roman" w:eastAsia="Times New Roman" w:hAnsi="Times New Roman" w:cs="Times New Roman"/>
          <w:color w:val="000000"/>
          <w:kern w:val="0"/>
          <w:sz w:val="24"/>
          <w:szCs w:val="24"/>
          <w:lang w:val="es-ES" w:eastAsia="es-ES"/>
        </w:rPr>
        <w:t>arresto.“</w:t>
      </w:r>
      <w:proofErr w:type="gramEnd"/>
    </w:p>
    <w:p w14:paraId="6959EA23"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39782BF0"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Artículo 2°.-</w:t>
      </w:r>
      <w:r w:rsidRPr="00E80367">
        <w:rPr>
          <w:rFonts w:ascii="Times New Roman" w:eastAsia="Times New Roman" w:hAnsi="Times New Roman" w:cs="Times New Roman"/>
          <w:color w:val="000000"/>
          <w:kern w:val="0"/>
          <w:sz w:val="24"/>
          <w:szCs w:val="24"/>
          <w:lang w:val="es-ES" w:eastAsia="es-ES"/>
        </w:rPr>
        <w:t xml:space="preserve"> Sustituir el artículo 93 del Capítulo II “Uso del espacio público y privado” del Título III “Protección del uso del espacio público o privado” del Libro II “Contravenciones” del Anexo I de la Ley 1.472 - Código Contravencional de la Ciudad Autónoma de Buenos Aires (texto ordenado por Decreto 362/24), por el siguiente:</w:t>
      </w:r>
    </w:p>
    <w:p w14:paraId="523A6D41"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267E3300"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w:t>
      </w:r>
      <w:r w:rsidRPr="00E80367">
        <w:rPr>
          <w:rFonts w:ascii="Times New Roman" w:eastAsia="Times New Roman" w:hAnsi="Times New Roman" w:cs="Times New Roman"/>
          <w:b/>
          <w:bCs/>
          <w:color w:val="000000"/>
          <w:kern w:val="0"/>
          <w:sz w:val="24"/>
          <w:szCs w:val="24"/>
          <w:lang w:val="es-ES" w:eastAsia="es-ES"/>
        </w:rPr>
        <w:t>Artículo 93 - Connivencia policial-</w:t>
      </w:r>
      <w:r w:rsidRPr="00E80367">
        <w:rPr>
          <w:rFonts w:ascii="Times New Roman" w:eastAsia="Times New Roman" w:hAnsi="Times New Roman" w:cs="Times New Roman"/>
          <w:color w:val="000000"/>
          <w:kern w:val="0"/>
          <w:sz w:val="24"/>
          <w:szCs w:val="24"/>
          <w:lang w:val="es-ES" w:eastAsia="es-ES"/>
        </w:rPr>
        <w:t xml:space="preserve"> El funcionario/a policial que participe directa o indirectamente, aún en forma omisiva, consienta, avale, promueva o facilite en cualquier forma la comisión de una de las contravenciones previstas en los artículos 91 y 92, será sometido al correspondiente sumario administrativo. Cuando resulte comprobada la responsabilidad del funcionario/a, es sancionado disciplinariamente con su exoneración.</w:t>
      </w:r>
    </w:p>
    <w:p w14:paraId="52775F6A"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Sin perjuicio de ello, y siempre y cuando el hecho no constituya delito, podrá ser considerado partícipe necesario de las contravenciones y sujeto a lo establecido en el artículo 18 del presente Código, en cuyo caso la sanción aplicada nunca será inferior a 60 días de trabajos de utilidad pública o 45 días de arresto.”</w:t>
      </w:r>
    </w:p>
    <w:p w14:paraId="48944C3C"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7C3D74C2" w14:textId="77777777" w:rsidR="00E80367" w:rsidRPr="00E80367" w:rsidRDefault="00E80367" w:rsidP="00E80367">
      <w:pPr>
        <w:spacing w:after="0" w:line="240" w:lineRule="auto"/>
        <w:ind w:firstLine="720"/>
        <w:jc w:val="both"/>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 xml:space="preserve">Artículo 3°.- </w:t>
      </w:r>
      <w:r w:rsidRPr="00E80367">
        <w:rPr>
          <w:rFonts w:ascii="Times New Roman" w:eastAsia="Times New Roman" w:hAnsi="Times New Roman" w:cs="Times New Roman"/>
          <w:color w:val="000000"/>
          <w:kern w:val="0"/>
          <w:sz w:val="24"/>
          <w:szCs w:val="24"/>
          <w:lang w:val="es-ES" w:eastAsia="es-ES"/>
        </w:rPr>
        <w:t>Comuníquese, etc.</w:t>
      </w:r>
    </w:p>
    <w:p w14:paraId="5CB523F2"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p>
    <w:p w14:paraId="2C30E34A"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Sala de Comisiones, viernes 5 de junio de 2026.</w:t>
      </w:r>
    </w:p>
    <w:p w14:paraId="6A8C68B2"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27995433"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COMISIÓN DE JUSTICIA</w:t>
      </w:r>
    </w:p>
    <w:p w14:paraId="403FF2B5"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tbl>
      <w:tblPr>
        <w:tblW w:w="0" w:type="auto"/>
        <w:tblCellMar>
          <w:top w:w="15" w:type="dxa"/>
          <w:left w:w="15" w:type="dxa"/>
          <w:bottom w:w="15" w:type="dxa"/>
          <w:right w:w="15" w:type="dxa"/>
        </w:tblCellMar>
        <w:tblLook w:val="04A0" w:firstRow="1" w:lastRow="0" w:firstColumn="1" w:lastColumn="0" w:noHBand="0" w:noVBand="1"/>
      </w:tblPr>
      <w:tblGrid>
        <w:gridCol w:w="3574"/>
        <w:gridCol w:w="3721"/>
      </w:tblGrid>
      <w:tr w:rsidR="00E80367" w:rsidRPr="00E80367" w14:paraId="36FA3B52" w14:textId="77777777" w:rsidTr="00E80367">
        <w:trPr>
          <w:trHeight w:val="480"/>
        </w:trPr>
        <w:tc>
          <w:tcPr>
            <w:tcW w:w="0" w:type="auto"/>
            <w:gridSpan w:val="2"/>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04EDCD9"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1C7B5B88"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PELAYO, SOLANA</w:t>
            </w:r>
          </w:p>
          <w:p w14:paraId="43733D0F"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Presidente</w:t>
            </w:r>
          </w:p>
        </w:tc>
      </w:tr>
      <w:tr w:rsidR="00E80367" w:rsidRPr="00E80367" w14:paraId="513AA1A0" w14:textId="77777777" w:rsidTr="00E80367">
        <w:trPr>
          <w:trHeight w:val="1484"/>
        </w:trPr>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38C28E95"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1AE4C325"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MOCHI, FEDERICO.</w:t>
            </w:r>
          </w:p>
          <w:p w14:paraId="551F3430"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Vicepresidente 1°</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2921F5CC"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16DF5D37"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VILLAFRUELA, GIMENA.</w:t>
            </w:r>
          </w:p>
          <w:p w14:paraId="1207D31C"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Vicepresidente 2°</w:t>
            </w:r>
          </w:p>
        </w:tc>
      </w:tr>
      <w:tr w:rsidR="00E80367" w:rsidRPr="00E80367" w14:paraId="7E87408F"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515769C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lastRenderedPageBreak/>
              <w:br/>
            </w:r>
          </w:p>
          <w:p w14:paraId="21815A99"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MODARELLI, JUAN PABLO </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A7D639D"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37637B8A"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CRUCITTA, ALDANA BELÉN</w:t>
            </w:r>
          </w:p>
        </w:tc>
      </w:tr>
      <w:tr w:rsidR="00E80367" w:rsidRPr="00E80367" w14:paraId="1CE0C9F5"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25C4AF9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05907D89"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PEÑAFORT, GRACIANA</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132CB029"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346EE1FF"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FIGUEROA, ROCÍO</w:t>
            </w:r>
          </w:p>
        </w:tc>
      </w:tr>
      <w:tr w:rsidR="00E80367" w:rsidRPr="00E80367" w14:paraId="65153212"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6B07911"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6B2182CD"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TAGLIAFERRI, GUADALUPE</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FA3D599"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4B465AC6"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RAMÍREZ, MARÍA DEL PILAR</w:t>
            </w:r>
          </w:p>
        </w:tc>
      </w:tr>
      <w:tr w:rsidR="00E80367" w:rsidRPr="00E80367" w14:paraId="5E5D0CC7"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92EDC10"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15BD57DD"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 </w:t>
            </w:r>
          </w:p>
          <w:p w14:paraId="1BE06B1D"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0B7A095C"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VARTABEDIAN, DIEGO</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63C5CF62"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36B1CEF3"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NEIRA, CLAUDIA</w:t>
            </w:r>
          </w:p>
        </w:tc>
      </w:tr>
      <w:tr w:rsidR="00E80367" w:rsidRPr="00E80367" w14:paraId="2004A56F"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32C01997"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0EA293E5"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BARROETAVEÑA, MATÍAS</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0E106A19"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26C2F383"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ALONSO, LAURA</w:t>
            </w:r>
          </w:p>
        </w:tc>
      </w:tr>
    </w:tbl>
    <w:p w14:paraId="6D4B59A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p w14:paraId="7EBC578D"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COMISIÓN DE ASUNTOS CONSTITUCIONALES</w:t>
      </w:r>
    </w:p>
    <w:p w14:paraId="1A77B96E" w14:textId="77777777" w:rsidR="00E80367" w:rsidRPr="00E80367" w:rsidRDefault="00E80367" w:rsidP="00E80367">
      <w:pPr>
        <w:spacing w:after="0" w:line="240" w:lineRule="auto"/>
        <w:rPr>
          <w:rFonts w:ascii="Times New Roman" w:eastAsia="Times New Roman" w:hAnsi="Times New Roman" w:cs="Times New Roman"/>
          <w:kern w:val="0"/>
          <w:sz w:val="24"/>
          <w:szCs w:val="24"/>
          <w:lang w:val="es-ES" w:eastAsia="es-ES"/>
        </w:rPr>
      </w:pPr>
    </w:p>
    <w:tbl>
      <w:tblPr>
        <w:tblW w:w="0" w:type="auto"/>
        <w:tblCellMar>
          <w:top w:w="15" w:type="dxa"/>
          <w:left w:w="15" w:type="dxa"/>
          <w:bottom w:w="15" w:type="dxa"/>
          <w:right w:w="15" w:type="dxa"/>
        </w:tblCellMar>
        <w:tblLook w:val="04A0" w:firstRow="1" w:lastRow="0" w:firstColumn="1" w:lastColumn="0" w:noHBand="0" w:noVBand="1"/>
      </w:tblPr>
      <w:tblGrid>
        <w:gridCol w:w="3721"/>
        <w:gridCol w:w="3541"/>
      </w:tblGrid>
      <w:tr w:rsidR="00E80367" w:rsidRPr="00E80367" w14:paraId="5F3567F2" w14:textId="77777777" w:rsidTr="00E80367">
        <w:trPr>
          <w:trHeight w:val="480"/>
        </w:trPr>
        <w:tc>
          <w:tcPr>
            <w:tcW w:w="0" w:type="auto"/>
            <w:gridSpan w:val="2"/>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E11788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7F494BB2"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PAKGOJZ, NICOLAS </w:t>
            </w:r>
          </w:p>
          <w:p w14:paraId="39E9F3A9"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Presidente</w:t>
            </w:r>
          </w:p>
        </w:tc>
      </w:tr>
      <w:tr w:rsidR="00E80367" w:rsidRPr="00E80367" w14:paraId="3A6CDCD5"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1EE188AE"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4D4545EA"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ALONSO, LAURA.</w:t>
            </w:r>
          </w:p>
          <w:p w14:paraId="7597FF84"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Vicepresidente 1°</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63325F2A"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1E79C3F9"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PEÑAFORT, GRACIANA</w:t>
            </w:r>
          </w:p>
          <w:p w14:paraId="405FE8A5"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color w:val="000000"/>
                <w:kern w:val="0"/>
                <w:sz w:val="24"/>
                <w:szCs w:val="24"/>
                <w:lang w:val="es-ES" w:eastAsia="es-ES"/>
              </w:rPr>
              <w:t>Vicepresidente 2°</w:t>
            </w:r>
          </w:p>
        </w:tc>
      </w:tr>
      <w:tr w:rsidR="00E80367" w:rsidRPr="00E80367" w14:paraId="735B3F9C"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D60978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7DA18F5F"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RAMÍREZ, MARÍA DEL PILAR</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3A06296C"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196FDC18"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PELAYO, SOLANA</w:t>
            </w:r>
          </w:p>
        </w:tc>
      </w:tr>
      <w:tr w:rsidR="00E80367" w:rsidRPr="00E80367" w14:paraId="0CE7E33D"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0EA43B09"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4D798962"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NEGRI, CLAUDIA</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4A984885"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4F2300F0"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MOCHI, FEDERICO</w:t>
            </w:r>
          </w:p>
        </w:tc>
      </w:tr>
      <w:tr w:rsidR="00E80367" w:rsidRPr="00E80367" w14:paraId="204D1EE7"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37054BCA"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613959CD"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CAPORICCIO, FRANCISCO</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7036EA02"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05BC3515"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LOSPENNATO, SILVIA</w:t>
            </w:r>
          </w:p>
        </w:tc>
      </w:tr>
      <w:tr w:rsidR="00E80367" w:rsidRPr="00E80367" w14:paraId="16D3AE04"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49A7473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p>
          <w:p w14:paraId="31637414"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NEIRA, CLAUDIA</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4F68E31B"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lastRenderedPageBreak/>
              <w:br/>
            </w:r>
          </w:p>
          <w:p w14:paraId="05DD535C"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OCAÑA, MARÍA GRACIELA</w:t>
            </w:r>
          </w:p>
        </w:tc>
      </w:tr>
      <w:tr w:rsidR="00E80367" w:rsidRPr="00E80367" w14:paraId="65EBC12C" w14:textId="77777777" w:rsidTr="00E80367">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51C78EC4"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lastRenderedPageBreak/>
              <w:br/>
            </w:r>
            <w:r w:rsidRPr="00E80367">
              <w:rPr>
                <w:rFonts w:ascii="Times New Roman" w:eastAsia="Times New Roman" w:hAnsi="Times New Roman" w:cs="Times New Roman"/>
                <w:kern w:val="0"/>
                <w:sz w:val="24"/>
                <w:szCs w:val="24"/>
                <w:lang w:val="es-ES" w:eastAsia="es-ES"/>
              </w:rPr>
              <w:br/>
            </w:r>
          </w:p>
          <w:p w14:paraId="6FBCE1B2"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THOURTE, MANUELA</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3C2B6A77"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68A03A5C" w14:textId="77777777" w:rsidR="00E80367" w:rsidRPr="00E80367" w:rsidRDefault="00E80367" w:rsidP="00E80367">
            <w:pPr>
              <w:spacing w:after="0" w:line="0" w:lineRule="atLeast"/>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FERRARIO, EMMANUEL</w:t>
            </w:r>
          </w:p>
        </w:tc>
      </w:tr>
      <w:tr w:rsidR="00E80367" w:rsidRPr="00E80367" w14:paraId="7FBD8627" w14:textId="77777777" w:rsidTr="00E80367">
        <w:trPr>
          <w:trHeight w:val="1268"/>
        </w:trPr>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205EA873"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6A711A18"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NIETO, DARÍO HUGO</w:t>
            </w:r>
          </w:p>
        </w:tc>
        <w:tc>
          <w:tcPr>
            <w:tcW w:w="0" w:type="auto"/>
            <w:tcBorders>
              <w:top w:val="single" w:sz="4" w:space="0" w:color="000000"/>
              <w:left w:val="single" w:sz="4" w:space="0" w:color="000000"/>
              <w:bottom w:val="single" w:sz="4" w:space="0" w:color="000000"/>
              <w:right w:val="single" w:sz="4" w:space="0" w:color="000000"/>
            </w:tcBorders>
            <w:tcMar>
              <w:top w:w="200" w:type="dxa"/>
              <w:left w:w="120" w:type="dxa"/>
              <w:bottom w:w="80" w:type="dxa"/>
              <w:right w:w="120" w:type="dxa"/>
            </w:tcMar>
            <w:hideMark/>
          </w:tcPr>
          <w:p w14:paraId="1002EE27" w14:textId="77777777" w:rsidR="00E80367" w:rsidRPr="00E80367" w:rsidRDefault="00E80367" w:rsidP="00E80367">
            <w:pPr>
              <w:spacing w:after="240" w:line="240" w:lineRule="auto"/>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kern w:val="0"/>
                <w:sz w:val="24"/>
                <w:szCs w:val="24"/>
                <w:lang w:val="es-ES" w:eastAsia="es-ES"/>
              </w:rPr>
              <w:br/>
            </w:r>
            <w:r w:rsidRPr="00E80367">
              <w:rPr>
                <w:rFonts w:ascii="Times New Roman" w:eastAsia="Times New Roman" w:hAnsi="Times New Roman" w:cs="Times New Roman"/>
                <w:kern w:val="0"/>
                <w:sz w:val="24"/>
                <w:szCs w:val="24"/>
                <w:lang w:val="es-ES" w:eastAsia="es-ES"/>
              </w:rPr>
              <w:br/>
            </w:r>
          </w:p>
          <w:p w14:paraId="5B770311" w14:textId="77777777" w:rsidR="00E80367" w:rsidRPr="00E80367" w:rsidRDefault="00E80367" w:rsidP="00E80367">
            <w:pPr>
              <w:spacing w:after="0" w:line="240" w:lineRule="auto"/>
              <w:jc w:val="center"/>
              <w:rPr>
                <w:rFonts w:ascii="Times New Roman" w:eastAsia="Times New Roman" w:hAnsi="Times New Roman" w:cs="Times New Roman"/>
                <w:kern w:val="0"/>
                <w:sz w:val="24"/>
                <w:szCs w:val="24"/>
                <w:lang w:val="es-ES" w:eastAsia="es-ES"/>
              </w:rPr>
            </w:pPr>
            <w:r w:rsidRPr="00E80367">
              <w:rPr>
                <w:rFonts w:ascii="Times New Roman" w:eastAsia="Times New Roman" w:hAnsi="Times New Roman" w:cs="Times New Roman"/>
                <w:b/>
                <w:bCs/>
                <w:color w:val="000000"/>
                <w:kern w:val="0"/>
                <w:sz w:val="24"/>
                <w:szCs w:val="24"/>
                <w:lang w:val="es-ES" w:eastAsia="es-ES"/>
              </w:rPr>
              <w:t>CRUCITTA, ALDANA BELÉN</w:t>
            </w:r>
          </w:p>
        </w:tc>
      </w:tr>
    </w:tbl>
    <w:p w14:paraId="24D08459" w14:textId="77777777" w:rsidR="00AF6364" w:rsidRPr="000425FE" w:rsidRDefault="00AF6364">
      <w:pPr>
        <w:rPr>
          <w:rFonts w:ascii="Times New Roman" w:hAnsi="Times New Roman" w:cs="Times New Roman"/>
          <w:lang w:val="es-MX"/>
        </w:rPr>
      </w:pPr>
    </w:p>
    <w:sectPr w:rsidR="00AF6364"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17D2C" w14:textId="77777777" w:rsidR="002442CA" w:rsidRDefault="002442CA" w:rsidP="00AF6364">
      <w:pPr>
        <w:spacing w:after="0" w:line="240" w:lineRule="auto"/>
      </w:pPr>
      <w:r>
        <w:separator/>
      </w:r>
    </w:p>
  </w:endnote>
  <w:endnote w:type="continuationSeparator" w:id="0">
    <w:p w14:paraId="0CBE3A87" w14:textId="77777777" w:rsidR="002442CA" w:rsidRDefault="002442CA"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A0DD" w14:textId="563C8C0A"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A4145E" w:rsidRPr="00A4145E">
        <w:rPr>
          <w:noProof/>
          <w:color w:val="333333"/>
          <w:sz w:val="20"/>
        </w:rPr>
        <w:t>5/6/2026 14:02:00</w:t>
      </w:r>
    </w:fldSimple>
    <w:r w:rsidRPr="001C19C4">
      <w:rPr>
        <w:color w:val="333333"/>
        <w:sz w:val="20"/>
      </w:rPr>
      <w:t xml:space="preserve">  -  Cantidad de caracteres: </w:t>
    </w:r>
    <w:fldSimple w:instr=" NUMCHARS  \* MERGEFORMAT ">
      <w:r w:rsidR="00A4145E" w:rsidRPr="00A4145E">
        <w:rPr>
          <w:noProof/>
          <w:color w:val="333333"/>
          <w:sz w:val="20"/>
        </w:rPr>
        <w:t>7892</w:t>
      </w:r>
    </w:fldSimple>
    <w:r w:rsidRPr="001C19C4">
      <w:rPr>
        <w:color w:val="333333"/>
        <w:sz w:val="20"/>
      </w:rPr>
      <w:t xml:space="preserve"> - Cantidad de palabras: </w:t>
    </w:r>
    <w:fldSimple w:instr=" NUMWORDS  \* MERGEFORMAT ">
      <w:r w:rsidR="00A4145E" w:rsidRPr="00A4145E">
        <w:rPr>
          <w:noProof/>
          <w:color w:val="333333"/>
          <w:sz w:val="20"/>
        </w:rPr>
        <w:t>1426</w:t>
      </w:r>
    </w:fldSimple>
  </w:p>
  <w:p w14:paraId="5AA03319"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2C2C3E" w:rsidRPr="001C19C4">
      <w:rPr>
        <w:rStyle w:val="Nmerodepgina"/>
        <w:color w:val="333333"/>
      </w:rPr>
      <w:fldChar w:fldCharType="begin"/>
    </w:r>
    <w:r w:rsidRPr="001C19C4">
      <w:rPr>
        <w:rStyle w:val="Nmerodepgina"/>
        <w:color w:val="333333"/>
      </w:rPr>
      <w:instrText xml:space="preserve"> PAGE </w:instrText>
    </w:r>
    <w:r w:rsidR="002C2C3E" w:rsidRPr="001C19C4">
      <w:rPr>
        <w:rStyle w:val="Nmerodepgina"/>
        <w:color w:val="333333"/>
      </w:rPr>
      <w:fldChar w:fldCharType="separate"/>
    </w:r>
    <w:r w:rsidR="0080524C">
      <w:rPr>
        <w:rStyle w:val="Nmerodepgina"/>
        <w:noProof/>
        <w:color w:val="333333"/>
      </w:rPr>
      <w:t>2</w:t>
    </w:r>
    <w:r w:rsidR="002C2C3E" w:rsidRPr="001C19C4">
      <w:rPr>
        <w:rStyle w:val="Nmerodepgina"/>
        <w:color w:val="333333"/>
      </w:rPr>
      <w:fldChar w:fldCharType="end"/>
    </w:r>
    <w:r w:rsidRPr="001C19C4">
      <w:rPr>
        <w:rStyle w:val="Nmerodepgina"/>
        <w:color w:val="333333"/>
      </w:rPr>
      <w:t>/</w:t>
    </w:r>
    <w:fldSimple w:instr=" NUMPAGES  \* MERGEFORMAT ">
      <w:r w:rsidR="0080524C">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5E862" w14:textId="77777777" w:rsidR="002442CA" w:rsidRDefault="002442CA" w:rsidP="00AF6364">
      <w:pPr>
        <w:spacing w:after="0" w:line="240" w:lineRule="auto"/>
      </w:pPr>
      <w:r>
        <w:separator/>
      </w:r>
    </w:p>
  </w:footnote>
  <w:footnote w:type="continuationSeparator" w:id="0">
    <w:p w14:paraId="037B6D86" w14:textId="77777777" w:rsidR="002442CA" w:rsidRDefault="002442CA"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8B7C"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33D77D39" wp14:editId="6CEBBDA9">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09AD41C" w14:textId="77777777" w:rsidR="00AF6364" w:rsidRDefault="00AF636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524C"/>
    <w:rsid w:val="000425FE"/>
    <w:rsid w:val="0006709F"/>
    <w:rsid w:val="002442CA"/>
    <w:rsid w:val="002B0876"/>
    <w:rsid w:val="002C2C3E"/>
    <w:rsid w:val="00425C91"/>
    <w:rsid w:val="00476D68"/>
    <w:rsid w:val="004F14B4"/>
    <w:rsid w:val="00597CD1"/>
    <w:rsid w:val="005A46E2"/>
    <w:rsid w:val="00646C3C"/>
    <w:rsid w:val="006A0EE0"/>
    <w:rsid w:val="006D1BAF"/>
    <w:rsid w:val="006E4861"/>
    <w:rsid w:val="0072782F"/>
    <w:rsid w:val="00746F04"/>
    <w:rsid w:val="00785CAD"/>
    <w:rsid w:val="007D5575"/>
    <w:rsid w:val="0080524C"/>
    <w:rsid w:val="00813615"/>
    <w:rsid w:val="0081386C"/>
    <w:rsid w:val="00887FEC"/>
    <w:rsid w:val="009A4135"/>
    <w:rsid w:val="00A4145E"/>
    <w:rsid w:val="00AF3B91"/>
    <w:rsid w:val="00AF6364"/>
    <w:rsid w:val="00B24DD0"/>
    <w:rsid w:val="00C33CB5"/>
    <w:rsid w:val="00C60B5C"/>
    <w:rsid w:val="00DA6887"/>
    <w:rsid w:val="00DB479F"/>
    <w:rsid w:val="00E8036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D9B20"/>
  <w15:docId w15:val="{C64ACA60-9494-40CA-BD7A-16D84273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C3E"/>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unhideWhenUsed/>
    <w:rsid w:val="00E80367"/>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676136">
      <w:bodyDiv w:val="1"/>
      <w:marLeft w:val="0"/>
      <w:marRight w:val="0"/>
      <w:marTop w:val="0"/>
      <w:marBottom w:val="0"/>
      <w:divBdr>
        <w:top w:val="none" w:sz="0" w:space="0" w:color="auto"/>
        <w:left w:val="none" w:sz="0" w:space="0" w:color="auto"/>
        <w:bottom w:val="none" w:sz="0" w:space="0" w:color="auto"/>
        <w:right w:val="none" w:sz="0" w:space="0" w:color="auto"/>
      </w:divBdr>
      <w:divsChild>
        <w:div w:id="333652811">
          <w:marLeft w:val="-115"/>
          <w:marRight w:val="0"/>
          <w:marTop w:val="0"/>
          <w:marBottom w:val="0"/>
          <w:divBdr>
            <w:top w:val="none" w:sz="0" w:space="0" w:color="auto"/>
            <w:left w:val="none" w:sz="0" w:space="0" w:color="auto"/>
            <w:bottom w:val="none" w:sz="0" w:space="0" w:color="auto"/>
            <w:right w:val="none" w:sz="0" w:space="0" w:color="auto"/>
          </w:divBdr>
        </w:div>
        <w:div w:id="400490625">
          <w:marLeft w:val="-1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cuments\Importantes\PLANTILLA%20202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2026</Template>
  <TotalTime>18</TotalTime>
  <Pages>1</Pages>
  <Words>1448</Words>
  <Characters>8009</Characters>
  <Application>Microsoft Office Word</Application>
  <DocSecurity>0</DocSecurity>
  <Lines>266</Lines>
  <Paragraphs>82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clneira</dc:creator>
  <cp:lastModifiedBy>Valeria Cecilia Veneziano</cp:lastModifiedBy>
  <cp:revision>3</cp:revision>
  <cp:lastPrinted>2024-04-06T03:02:00Z</cp:lastPrinted>
  <dcterms:created xsi:type="dcterms:W3CDTF">2026-06-05T16:45:00Z</dcterms:created>
  <dcterms:modified xsi:type="dcterms:W3CDTF">2026-06-05T18:54:00Z</dcterms:modified>
</cp:coreProperties>
</file>