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1C5" w:rsidRDefault="002C41C5" w:rsidP="000A3459">
      <w:pPr>
        <w:pStyle w:val="Sinespaciado"/>
      </w:pPr>
    </w:p>
    <w:p w:rsidR="00814FB1" w:rsidRDefault="00814FB1" w:rsidP="00814FB1">
      <w:pPr>
        <w:pStyle w:val="normal0"/>
        <w:pBdr>
          <w:top w:val="nil"/>
          <w:left w:val="nil"/>
          <w:bottom w:val="nil"/>
          <w:right w:val="nil"/>
          <w:between w:val="nil"/>
        </w:pBdr>
        <w:spacing w:after="0" w:line="240" w:lineRule="auto"/>
        <w:rPr>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Legislatura de la Ciudad Autónoma de Buenos Aires</w:t>
      </w: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Visto:</w:t>
      </w:r>
    </w:p>
    <w:p w:rsidR="00814FB1" w:rsidRPr="00B82285" w:rsidRDefault="00814FB1" w:rsidP="00B82285">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 xml:space="preserve">                        Los Proyectos de Resolución contenidos en el Expediente N° 356-D-2026, de autoría de las Diputadas y el Diputado Berenice Iáñez, Claudio Américo Ferreño y Andrea Mariana González, y en el Expediente N° 701-D-2026, de autoría de los Diputados Matías Barroetaveña, Andrés La Blunda y Delfina Velazquez, mediante los cuales se solicita al Poder Ejecutivo que informe sobre el cumplimiento de la Ley N° 1502 de cupo laboral para personas con discapacidad en el empleo público y en las empresas del Estado y concesionarias, y;</w:t>
      </w: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03188F" w:rsidRPr="00B82285" w:rsidRDefault="00814FB1" w:rsidP="00B82285">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Considerando:</w:t>
      </w:r>
    </w:p>
    <w:p w:rsidR="000F0483" w:rsidRPr="00B82285" w:rsidRDefault="000F0483" w:rsidP="00B82285">
      <w:pPr>
        <w:pStyle w:val="normal0"/>
        <w:pBdr>
          <w:top w:val="nil"/>
          <w:left w:val="nil"/>
          <w:bottom w:val="nil"/>
          <w:right w:val="nil"/>
          <w:between w:val="nil"/>
        </w:pBdr>
        <w:spacing w:before="240" w:after="0" w:line="240" w:lineRule="auto"/>
        <w:ind w:firstLine="1418"/>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Que los presentes proyectos tienen por objeto conocer el grado de cumplimiento de la Ley N° 1502 de cupo laboral para personas con discapacidad en el empleo público de la Ciudad de Buenos Aires, tanto en el ámbito del Poder Ejecutivo como en el de las empresas y sociedades del Estado y las empresas concesionarias.</w:t>
      </w:r>
      <w:r w:rsidR="00814FB1" w:rsidRPr="00B82285">
        <w:rPr>
          <w:rFonts w:ascii="Times New Roman" w:hAnsi="Times New Roman" w:cs="Times New Roman"/>
          <w:color w:val="000000"/>
          <w:sz w:val="24"/>
          <w:szCs w:val="24"/>
        </w:rPr>
        <w:t xml:space="preserve">                        </w:t>
      </w:r>
    </w:p>
    <w:p w:rsidR="000F0483" w:rsidRPr="00B82285" w:rsidRDefault="000F0483" w:rsidP="00B82285">
      <w:pPr>
        <w:pStyle w:val="normal0"/>
        <w:pBdr>
          <w:top w:val="nil"/>
          <w:left w:val="nil"/>
          <w:bottom w:val="nil"/>
          <w:right w:val="nil"/>
          <w:between w:val="nil"/>
        </w:pBdr>
        <w:spacing w:before="200" w:after="0" w:line="240" w:lineRule="auto"/>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 xml:space="preserve">                        Que en 2004 esta Legislatura sancionó la Ley N° 1502, que contempla un cupo mínimo obligatorio del 5% (cinco por ciento) de trabajadores con discapacidad en el empleo público de la Ciudad, quedando comprendidos los poderes Legislativo, Ejecutivo y Judicial, las comunas, los organismos descentralizados, entidades autárquicas, organismos de la seguridad social, las empresas y sociedades del Estado, sociedades anónimas con participación estatal mayoritaria, sociedades de economía mixta y todas aquellas otras organizaciones empresariales donde el Estado de la Ciudad tenga participación mayoritaria en el capital o en la formación de las decisiones societarias.</w:t>
      </w:r>
    </w:p>
    <w:p w:rsidR="000F0483" w:rsidRPr="00B82285" w:rsidRDefault="000F0483" w:rsidP="00B82285">
      <w:pPr>
        <w:pStyle w:val="normal0"/>
        <w:pBdr>
          <w:top w:val="nil"/>
          <w:left w:val="nil"/>
          <w:bottom w:val="nil"/>
          <w:right w:val="nil"/>
          <w:between w:val="nil"/>
        </w:pBdr>
        <w:spacing w:before="200" w:after="0" w:line="240" w:lineRule="auto"/>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 xml:space="preserve">                        Que la norma también comprende a las empresas concesionarias del Estado, disponiendo en su artículo 2° que en todo contrato de concesión de servicios, de transferencia de actividades del Estado al sector privado, o de renovación y/o modificación de los vigentes, se deberán establecer cláusulas que dispongan el cumplimiento y la modalidad de control de aplicación de la Ley.</w:t>
      </w:r>
    </w:p>
    <w:p w:rsidR="0003188F" w:rsidRPr="00B82285" w:rsidRDefault="000F0483" w:rsidP="00B82285">
      <w:pPr>
        <w:pStyle w:val="NormalWeb"/>
        <w:spacing w:before="240" w:beforeAutospacing="0" w:after="200" w:afterAutospacing="0"/>
        <w:ind w:right="261" w:firstLine="1418"/>
        <w:jc w:val="both"/>
      </w:pPr>
      <w:r w:rsidRPr="00B82285">
        <w:rPr>
          <w:color w:val="000000"/>
        </w:rPr>
        <w:t>Que la L</w:t>
      </w:r>
      <w:r w:rsidR="0003188F" w:rsidRPr="00B82285">
        <w:rPr>
          <w:color w:val="000000"/>
        </w:rPr>
        <w:t>ey dispuso un plazo de cinco años para su implementación, el cual fue posteriormente prorrogado por un año mediante una norma sancionada por esta Legislatura. </w:t>
      </w:r>
    </w:p>
    <w:p w:rsidR="0003188F" w:rsidRPr="00B82285" w:rsidRDefault="0003188F" w:rsidP="00B82285">
      <w:pPr>
        <w:pStyle w:val="NormalWeb"/>
        <w:spacing w:before="0" w:beforeAutospacing="0" w:after="0" w:afterAutospacing="0"/>
        <w:ind w:right="261" w:firstLine="1418"/>
        <w:jc w:val="both"/>
      </w:pPr>
      <w:r w:rsidRPr="00B82285">
        <w:rPr>
          <w:color w:val="000000"/>
        </w:rPr>
        <w:t>Que sin embargo, a fines de 2025, la Auditoría General de la Ciudad de Buenos Aires aprobó un informe en el que</w:t>
      </w:r>
      <w:r w:rsidR="000F0483" w:rsidRPr="00B82285">
        <w:rPr>
          <w:color w:val="000000"/>
        </w:rPr>
        <w:t xml:space="preserve"> examinó el cumplimiento de la L</w:t>
      </w:r>
      <w:r w:rsidRPr="00B82285">
        <w:rPr>
          <w:color w:val="000000"/>
        </w:rPr>
        <w:t>ey</w:t>
      </w:r>
      <w:r w:rsidR="000F0483" w:rsidRPr="00B82285">
        <w:rPr>
          <w:color w:val="000000"/>
        </w:rPr>
        <w:t xml:space="preserve"> N°</w:t>
      </w:r>
      <w:r w:rsidRPr="00B82285">
        <w:rPr>
          <w:color w:val="000000"/>
        </w:rPr>
        <w:t xml:space="preserve"> 1502 durante 2024. </w:t>
      </w:r>
    </w:p>
    <w:p w:rsidR="0003188F" w:rsidRPr="00B82285" w:rsidRDefault="0003188F" w:rsidP="00B82285">
      <w:pPr>
        <w:pStyle w:val="NormalWeb"/>
        <w:spacing w:before="240" w:beforeAutospacing="0" w:after="200" w:afterAutospacing="0"/>
        <w:ind w:right="262" w:firstLine="1418"/>
        <w:jc w:val="both"/>
      </w:pPr>
      <w:r w:rsidRPr="00B82285">
        <w:rPr>
          <w:color w:val="000000"/>
        </w:rPr>
        <w:t>Que el informe incluye información sobre la composición de las dotaciones de personal de los distintos organismos alcanzados por la norma, entre ellos el Poder Ejecutivo, las Comunas y el Instituto de Vivienda de la Ciudad (IVC). </w:t>
      </w:r>
    </w:p>
    <w:p w:rsidR="0003188F" w:rsidRPr="00B82285" w:rsidRDefault="0003188F" w:rsidP="00B82285">
      <w:pPr>
        <w:pStyle w:val="NormalWeb"/>
        <w:spacing w:before="0" w:beforeAutospacing="0" w:after="0" w:afterAutospacing="0"/>
        <w:ind w:right="262" w:firstLine="1418"/>
        <w:jc w:val="both"/>
      </w:pPr>
      <w:r w:rsidRPr="00B82285">
        <w:rPr>
          <w:color w:val="000000"/>
        </w:rPr>
        <w:t>Que dicha información fue considerada por la Auditoría General de la Ciudad de Buenos Aires en el análisis efectuado sobre la implementación de la Ley</w:t>
      </w:r>
      <w:r w:rsidR="000F0483" w:rsidRPr="00B82285">
        <w:rPr>
          <w:color w:val="000000"/>
        </w:rPr>
        <w:t xml:space="preserve"> N°</w:t>
      </w:r>
      <w:r w:rsidRPr="00B82285">
        <w:rPr>
          <w:color w:val="000000"/>
        </w:rPr>
        <w:t xml:space="preserve"> 1502, incorporándose las observaciones y consideraciones que forman parte del informe aprobado. </w:t>
      </w:r>
    </w:p>
    <w:p w:rsidR="0003188F" w:rsidRPr="00B82285" w:rsidRDefault="0003188F" w:rsidP="00B82285">
      <w:pPr>
        <w:pStyle w:val="NormalWeb"/>
        <w:spacing w:before="240" w:beforeAutospacing="0" w:after="200" w:afterAutospacing="0"/>
        <w:ind w:right="262" w:firstLine="1418"/>
        <w:jc w:val="both"/>
      </w:pPr>
      <w:r w:rsidRPr="00B82285">
        <w:rPr>
          <w:color w:val="000000"/>
        </w:rPr>
        <w:t>Que cabe señalar que las disposiciones previstas en la Ley</w:t>
      </w:r>
      <w:r w:rsidR="000F0483" w:rsidRPr="00B82285">
        <w:rPr>
          <w:color w:val="000000"/>
        </w:rPr>
        <w:t xml:space="preserve"> N°</w:t>
      </w:r>
      <w:r w:rsidRPr="00B82285">
        <w:rPr>
          <w:color w:val="000000"/>
        </w:rPr>
        <w:t xml:space="preserve"> 1502 también se encuentran contempladas en la Constitución de la Ciudad de Buenos Aires. Su artículo 43º establece que la Ciudad debe garantizar “un cupo del cinco por ciento del personal para las personas con necesidades especiales, con incorporación gradual en la forma que la ley determine”. Además, este tipo de medidas se encuentran contempladas en el artículo 27º de la Convención Sobre los Derechos de las Personas con Discapacidad, aprobada por Naciones Unidas en 2006 y con rango constitucional en la Argentina desde 2014: “Los Estados Partes salvaguardan y promoverán el ejercicio del derecho al trabajo, incluso para las personas que adquieran una discapacidad durante el </w:t>
      </w:r>
      <w:r w:rsidRPr="00B82285">
        <w:rPr>
          <w:color w:val="000000"/>
        </w:rPr>
        <w:lastRenderedPageBreak/>
        <w:t>empleo, adoptando medidas pertinentes, incluida la promulgación de legislación, entre ellas: (...) Emplear a personas con discapacidad en el sector público”.</w:t>
      </w:r>
    </w:p>
    <w:p w:rsidR="0003188F" w:rsidRPr="00B82285" w:rsidRDefault="0003188F" w:rsidP="00B82285">
      <w:pPr>
        <w:pStyle w:val="NormalWeb"/>
        <w:spacing w:before="0" w:beforeAutospacing="0" w:after="0" w:afterAutospacing="0"/>
        <w:ind w:right="256" w:firstLine="1701"/>
        <w:jc w:val="both"/>
      </w:pPr>
      <w:r w:rsidRPr="00B82285">
        <w:rPr>
          <w:color w:val="000000"/>
        </w:rPr>
        <w:t>Que las políticas orientadas a la inclusión laboral de las personas con discapacidad tienen por objeto promover su participación en el ámbito del empleo y favorecer la igualdad de oportunidades.</w:t>
      </w:r>
    </w:p>
    <w:p w:rsidR="0003188F" w:rsidRPr="00B82285" w:rsidRDefault="0003188F" w:rsidP="00B82285">
      <w:pPr>
        <w:pStyle w:val="NormalWeb"/>
        <w:spacing w:before="241" w:beforeAutospacing="0" w:after="0" w:afterAutospacing="0"/>
        <w:ind w:right="256" w:firstLine="1701"/>
        <w:jc w:val="both"/>
      </w:pPr>
      <w:r w:rsidRPr="00B82285">
        <w:rPr>
          <w:color w:val="000000"/>
        </w:rPr>
        <w:t xml:space="preserve">Que según se desprende del informe sobre la población con discapacidad </w:t>
      </w:r>
      <w:proofErr w:type="gramStart"/>
      <w:r w:rsidRPr="00B82285">
        <w:rPr>
          <w:color w:val="000000"/>
        </w:rPr>
        <w:t>realizado</w:t>
      </w:r>
      <w:proofErr w:type="gramEnd"/>
      <w:r w:rsidRPr="00B82285">
        <w:rPr>
          <w:color w:val="000000"/>
        </w:rPr>
        <w:t xml:space="preserve"> por el Instituto de Estadísticas y Censos de la Ciudad de Buenos Aires (IDECBA) en 2019, “en el 16,3% de los hogares (211.079) de la Ciudad de Buenos Aires habita, al menos, una persona con discapacidad”. Vemos, entonces, que se trata de un sector importante de la población de la ciudad. </w:t>
      </w:r>
    </w:p>
    <w:p w:rsidR="0003188F" w:rsidRPr="00B82285" w:rsidRDefault="0003188F" w:rsidP="00B82285">
      <w:pPr>
        <w:pStyle w:val="NormalWeb"/>
        <w:spacing w:before="241" w:beforeAutospacing="0" w:after="0" w:afterAutospacing="0"/>
        <w:ind w:right="256" w:firstLine="1701"/>
        <w:jc w:val="both"/>
      </w:pPr>
      <w:r w:rsidRPr="00B82285">
        <w:rPr>
          <w:color w:val="000000"/>
        </w:rPr>
        <w:t>Que en este marco, se solicita información acerca de las acciones, programas y mecanismos implementados por el Gobierno de la Ciudad de Buenos Aires en relación con la aplicación de la Ley</w:t>
      </w:r>
      <w:r w:rsidR="000F0483" w:rsidRPr="00B82285">
        <w:rPr>
          <w:color w:val="000000"/>
        </w:rPr>
        <w:t xml:space="preserve"> n°</w:t>
      </w:r>
      <w:r w:rsidRPr="00B82285">
        <w:rPr>
          <w:color w:val="000000"/>
        </w:rPr>
        <w:t xml:space="preserve"> 1502 y las disposiciones constitucionales vinculadas a la incorporación de personas con discapacidad en el empleo público. Asimismo, se requiere información sobre los mecanismos de seguimiento y control previstos para las empresas concesionarias alcanzadas por la normativa vigente. </w:t>
      </w:r>
    </w:p>
    <w:p w:rsidR="00814FB1" w:rsidRPr="00B82285" w:rsidRDefault="00814FB1" w:rsidP="00B82285">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ind w:firstLine="1701"/>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Por todo lo expuesto, la Comisión de Legislación del Trabajo y Políticas de Empleo aconseja la aprobación de la siguiente:</w:t>
      </w: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B82285">
        <w:rPr>
          <w:rFonts w:ascii="Times New Roman" w:hAnsi="Times New Roman" w:cs="Times New Roman"/>
          <w:b/>
          <w:bCs/>
          <w:color w:val="000000"/>
          <w:sz w:val="24"/>
          <w:szCs w:val="24"/>
        </w:rPr>
        <w:t>RESOLUCIÓN</w:t>
      </w: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B82285">
        <w:rPr>
          <w:rFonts w:ascii="Times New Roman" w:hAnsi="Times New Roman" w:cs="Times New Roman"/>
          <w:b/>
          <w:color w:val="000000"/>
          <w:sz w:val="24"/>
          <w:szCs w:val="24"/>
        </w:rPr>
        <w:t>Artículo 1°.-</w:t>
      </w:r>
      <w:r w:rsidRPr="00B82285">
        <w:rPr>
          <w:rFonts w:ascii="Times New Roman" w:hAnsi="Times New Roman" w:cs="Times New Roman"/>
          <w:color w:val="000000"/>
          <w:sz w:val="24"/>
          <w:szCs w:val="24"/>
        </w:rPr>
        <w:t xml:space="preserve"> El Poder Ejecutivo informará, a través de los organismos correspondientes y en un plazo máximo de 30 (treinta) días de recibida la presente, los siguientes puntos referidos al cumplimiento de la Ley N° 1502 de cupo laboral para personas con discapacidad en el empleo público, en las empresas y sociedades del Estado y en las empresas concesionarias del Gobierno de la Ciudad de Buenos Aires:</w:t>
      </w: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1. Informe la cantidad total de trabajadores con que cuenta el Poder Ejecutivo de la Ciudad de Buenos Aires, discriminando la información por repartición y modalidad de contratación.</w:t>
      </w:r>
    </w:p>
    <w:p w:rsidR="00814FB1" w:rsidRPr="00B82285" w:rsidRDefault="00814FB1" w:rsidP="00B82285">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2. Informe la cantidad total de trabajadores con Certificado Único de Discapacidad (CUD) que se desempeñan en el Poder Ejecutivo de la Ciudad de Buenos Aires y el porcentaje que representan respecto del total de trabajadores. Discrimine la información por repartición y modalidad de contratación.</w:t>
      </w:r>
    </w:p>
    <w:p w:rsidR="00814FB1" w:rsidRPr="00B82285" w:rsidRDefault="00814FB1" w:rsidP="00B82285">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3. Informe la cantidad de trabajadores con Certificado Único de Discapacidad que se desempeñan en cada uno de los organismos descentralizados y autárquicos de la Ciudad de Buenos Aires y el porcentaje que representan respecto de la cantidad total de trabajadores de cada organismo. Discrimine la información por organismo y modalidad de contratación.</w:t>
      </w:r>
    </w:p>
    <w:p w:rsidR="00814FB1" w:rsidRPr="00B82285" w:rsidRDefault="00814FB1" w:rsidP="00B82285">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4. Informe cuáles son las sociedades anónimas con participación estatal mayoritaria, sociedades de economía mixta y todas aquellas otras organizaciones empresariales donde el Estado de la Ciudad tenga participación mayoritaria en el capital o en la formación de decisiones societarias, y cuáles son las empresas concesionarias que prestan servicios en el ámbito de la Ciudad de Buenos Aires, indicando tipo de servicio, período de concesión y dependencia responsable del control.</w:t>
      </w:r>
    </w:p>
    <w:p w:rsidR="00814FB1" w:rsidRPr="00B82285" w:rsidRDefault="00814FB1" w:rsidP="00B82285">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5. Informe la cantidad total de empleados que se desempeñan a la fecha en las sociedades y em</w:t>
      </w:r>
      <w:r w:rsidR="002C4880" w:rsidRPr="00B82285">
        <w:rPr>
          <w:rFonts w:ascii="Times New Roman" w:hAnsi="Times New Roman" w:cs="Times New Roman"/>
          <w:color w:val="000000"/>
          <w:sz w:val="24"/>
          <w:szCs w:val="24"/>
        </w:rPr>
        <w:t>presas mencionadas en el punto 4</w:t>
      </w:r>
      <w:r w:rsidRPr="00B82285">
        <w:rPr>
          <w:rFonts w:ascii="Times New Roman" w:hAnsi="Times New Roman" w:cs="Times New Roman"/>
          <w:color w:val="000000"/>
          <w:sz w:val="24"/>
          <w:szCs w:val="24"/>
        </w:rPr>
        <w:t xml:space="preserve"> y qué porcentaje de los mismos presentan alguna discapacidad. Detalle su edad, género y modalidad de contratación.</w:t>
      </w:r>
    </w:p>
    <w:p w:rsidR="00814FB1" w:rsidRPr="00B82285" w:rsidRDefault="00814FB1" w:rsidP="00B82285">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6. Informe el porcentaje de participación de la Ciudad Autónoma de Buenos Aires en cada una de las organi</w:t>
      </w:r>
      <w:r w:rsidR="002C4880" w:rsidRPr="00B82285">
        <w:rPr>
          <w:rFonts w:ascii="Times New Roman" w:hAnsi="Times New Roman" w:cs="Times New Roman"/>
          <w:color w:val="000000"/>
          <w:sz w:val="24"/>
          <w:szCs w:val="24"/>
        </w:rPr>
        <w:t>zaciones referidas en el punto 4</w:t>
      </w:r>
      <w:r w:rsidRPr="00B82285">
        <w:rPr>
          <w:rFonts w:ascii="Times New Roman" w:hAnsi="Times New Roman" w:cs="Times New Roman"/>
          <w:color w:val="000000"/>
          <w:sz w:val="24"/>
          <w:szCs w:val="24"/>
        </w:rPr>
        <w:t>.</w:t>
      </w:r>
    </w:p>
    <w:p w:rsidR="00814FB1" w:rsidRPr="00B82285" w:rsidRDefault="00814FB1" w:rsidP="00B82285">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7. Informe qué cantidad de personas han sido contratadas por las sociedades y e</w:t>
      </w:r>
      <w:r w:rsidR="002C4880" w:rsidRPr="00B82285">
        <w:rPr>
          <w:rFonts w:ascii="Times New Roman" w:hAnsi="Times New Roman" w:cs="Times New Roman"/>
          <w:color w:val="000000"/>
          <w:sz w:val="24"/>
          <w:szCs w:val="24"/>
        </w:rPr>
        <w:t>mpresas detalladas en el punto 4</w:t>
      </w:r>
      <w:r w:rsidRPr="00B82285">
        <w:rPr>
          <w:rFonts w:ascii="Times New Roman" w:hAnsi="Times New Roman" w:cs="Times New Roman"/>
          <w:color w:val="000000"/>
          <w:sz w:val="24"/>
          <w:szCs w:val="24"/>
        </w:rPr>
        <w:t xml:space="preserve"> desde 2004 (año de la sanción de la Ley N° 1502) a la fecha. Detalle el porcentaje de las mismas que presentan alguna discapacidad.</w:t>
      </w:r>
    </w:p>
    <w:p w:rsidR="00814FB1" w:rsidRPr="00B82285" w:rsidRDefault="00814FB1" w:rsidP="00B82285">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8. Informe si las en</w:t>
      </w:r>
      <w:r w:rsidR="002C4880" w:rsidRPr="00B82285">
        <w:rPr>
          <w:rFonts w:ascii="Times New Roman" w:hAnsi="Times New Roman" w:cs="Times New Roman"/>
          <w:color w:val="000000"/>
          <w:sz w:val="24"/>
          <w:szCs w:val="24"/>
        </w:rPr>
        <w:t>tidades enunciadas en el punto 4</w:t>
      </w:r>
      <w:r w:rsidRPr="00B82285">
        <w:rPr>
          <w:rFonts w:ascii="Times New Roman" w:hAnsi="Times New Roman" w:cs="Times New Roman"/>
          <w:color w:val="000000"/>
          <w:sz w:val="24"/>
          <w:szCs w:val="24"/>
        </w:rPr>
        <w:t xml:space="preserve"> han remitido a la Legislatura de la Ciudad de Buenos Aires sus respectivas nóminas de puestos ocupados, vacantes y </w:t>
      </w:r>
      <w:r w:rsidRPr="00B82285">
        <w:rPr>
          <w:rFonts w:ascii="Times New Roman" w:hAnsi="Times New Roman" w:cs="Times New Roman"/>
          <w:color w:val="000000"/>
          <w:sz w:val="24"/>
          <w:szCs w:val="24"/>
        </w:rPr>
        <w:lastRenderedPageBreak/>
        <w:t>altas y bajas de empleados producidas, consignando quiénes tienen alguna discapacidad o necesidad especial, tal como indica el artículo 14° de la Ley N° 1502.</w:t>
      </w:r>
    </w:p>
    <w:p w:rsidR="00814FB1" w:rsidRPr="00B82285" w:rsidRDefault="00814FB1" w:rsidP="00B82285">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9. Informe si se han implementado planes de inclusión laboral, capacitaciones o incentivos para fomentar el empleo de personas con discapacidad en las sociedades y em</w:t>
      </w:r>
      <w:r w:rsidR="002C4880" w:rsidRPr="00B82285">
        <w:rPr>
          <w:rFonts w:ascii="Times New Roman" w:hAnsi="Times New Roman" w:cs="Times New Roman"/>
          <w:color w:val="000000"/>
          <w:sz w:val="24"/>
          <w:szCs w:val="24"/>
        </w:rPr>
        <w:t>presas mencionadas en el punto 4</w:t>
      </w:r>
      <w:r w:rsidRPr="00B82285">
        <w:rPr>
          <w:rFonts w:ascii="Times New Roman" w:hAnsi="Times New Roman" w:cs="Times New Roman"/>
          <w:color w:val="000000"/>
          <w:sz w:val="24"/>
          <w:szCs w:val="24"/>
        </w:rPr>
        <w:t>.</w:t>
      </w:r>
    </w:p>
    <w:p w:rsidR="00814FB1" w:rsidRPr="00B82285" w:rsidRDefault="00814FB1" w:rsidP="00B82285">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10. Informe la cantidad de trabajadores con Certificado Único de Discapacidad que se desempeñan en cada una de las empresas concesionarias del Poder Ejecutivo de la Ciudad de Buenos Aires y el porcentaje que representan respecto de la cantidad total de trabajadores. Discrimine la información por empresa y modalidad de contratación.</w:t>
      </w:r>
    </w:p>
    <w:p w:rsidR="00814FB1" w:rsidRPr="00B82285" w:rsidRDefault="00814FB1" w:rsidP="00B82285">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11. Informe en los términos del artículo 11 de la Ley N° 1.502 la situación actual del Registro Laboral Único de Aspirantes con Necesidades Especiales, detallando cantidad de inscriptos y las contrataciones producidas a partir del mismo, si es que las hubiere, desde el año 2021 a la fecha.</w:t>
      </w:r>
    </w:p>
    <w:p w:rsidR="00814FB1" w:rsidRPr="00B82285" w:rsidRDefault="00814FB1" w:rsidP="00B82285">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12. En caso de que en el Poder Ejecutivo y en las empresas del Estado no se llegue a cumplir el cupo mínimo del 5% de trabajadores con discapacidad establecido en la Ley N° 1502, describa las medidas implementadas y las que se prevé implementar para su cumplimiento.</w:t>
      </w:r>
    </w:p>
    <w:p w:rsidR="00814FB1" w:rsidRPr="00B82285" w:rsidRDefault="00814FB1" w:rsidP="00B82285">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13. Detalle los concursos para la contratación de trabajadores realizados durante 2025 y lo que va de 2026 en el Poder Ejecutivo, en los organismos descentralizados y autárquicos y en las empresas del Estado, para cubrir puestos laborales. Discrimine la información por organismo. Informe la fecha de cada concurso y la fecha en que se informó cada uno de ellos a la Subsecretaría de Discapacidad del Gobierno de la Ciudad de Buenos Aires. Informe en cuántos de ellos se inscribieron personas con Certificado Único de Discapacidad.</w:t>
      </w:r>
    </w:p>
    <w:p w:rsidR="00814FB1" w:rsidRPr="00B82285" w:rsidRDefault="00814FB1" w:rsidP="00B82285">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14. Informe si se han aplicado sanciones a funcionarios o empresas por incumplimiento de la normativa, tal como indica el artículo 15° de la Ley N° 1502, desde el año 2021 a la fecha.</w:t>
      </w: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B82285">
        <w:rPr>
          <w:rFonts w:ascii="Times New Roman" w:hAnsi="Times New Roman" w:cs="Times New Roman"/>
          <w:b/>
          <w:color w:val="000000"/>
          <w:sz w:val="24"/>
          <w:szCs w:val="24"/>
        </w:rPr>
        <w:t>Artículo 2°.-</w:t>
      </w:r>
      <w:r w:rsidRPr="00B82285">
        <w:rPr>
          <w:rFonts w:ascii="Times New Roman" w:hAnsi="Times New Roman" w:cs="Times New Roman"/>
          <w:color w:val="000000"/>
          <w:sz w:val="24"/>
          <w:szCs w:val="24"/>
        </w:rPr>
        <w:t xml:space="preserve"> Comuníquese, etc.</w:t>
      </w: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2C4880" w:rsidP="00B82285">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B82285">
        <w:rPr>
          <w:rFonts w:ascii="Times New Roman" w:hAnsi="Times New Roman" w:cs="Times New Roman"/>
          <w:color w:val="000000"/>
          <w:sz w:val="24"/>
          <w:szCs w:val="24"/>
        </w:rPr>
        <w:t>Sala de Comisión: 9</w:t>
      </w:r>
      <w:r w:rsidR="00814FB1" w:rsidRPr="00B82285">
        <w:rPr>
          <w:rFonts w:ascii="Times New Roman" w:hAnsi="Times New Roman" w:cs="Times New Roman"/>
          <w:color w:val="000000"/>
          <w:sz w:val="24"/>
          <w:szCs w:val="24"/>
        </w:rPr>
        <w:t xml:space="preserve"> de junio de 2026</w:t>
      </w: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B82285">
        <w:rPr>
          <w:rFonts w:ascii="Times New Roman" w:hAnsi="Times New Roman" w:cs="Times New Roman"/>
          <w:b/>
          <w:bCs/>
          <w:color w:val="000000"/>
          <w:sz w:val="24"/>
          <w:szCs w:val="24"/>
        </w:rPr>
        <w:t>COMISIÓN DE LEGISLACIÓN DEL TRABAJO Y POLÍTICAS DE EMPLEO</w:t>
      </w: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ind w:left="1416" w:firstLine="707"/>
        <w:jc w:val="center"/>
        <w:rPr>
          <w:rFonts w:ascii="Times New Roman" w:hAnsi="Times New Roman" w:cs="Times New Roman"/>
          <w:color w:val="000000"/>
          <w:sz w:val="24"/>
          <w:szCs w:val="24"/>
        </w:rPr>
      </w:pPr>
      <w:r w:rsidRPr="00B82285">
        <w:rPr>
          <w:rFonts w:ascii="Times New Roman" w:hAnsi="Times New Roman" w:cs="Times New Roman"/>
          <w:color w:val="000000"/>
          <w:sz w:val="24"/>
          <w:szCs w:val="24"/>
        </w:rPr>
        <w:t>Matías Barroetaveña</w:t>
      </w:r>
    </w:p>
    <w:p w:rsidR="00814FB1" w:rsidRPr="00B82285" w:rsidRDefault="00814FB1" w:rsidP="00B82285">
      <w:pPr>
        <w:pStyle w:val="normal0"/>
        <w:pBdr>
          <w:top w:val="nil"/>
          <w:left w:val="nil"/>
          <w:bottom w:val="nil"/>
          <w:right w:val="nil"/>
          <w:between w:val="nil"/>
        </w:pBdr>
        <w:spacing w:after="0" w:line="240" w:lineRule="auto"/>
        <w:ind w:left="1416" w:firstLine="707"/>
        <w:jc w:val="center"/>
        <w:rPr>
          <w:rFonts w:ascii="Times New Roman" w:hAnsi="Times New Roman" w:cs="Times New Roman"/>
          <w:color w:val="000000"/>
          <w:sz w:val="24"/>
          <w:szCs w:val="24"/>
        </w:rPr>
      </w:pPr>
      <w:r w:rsidRPr="00B82285">
        <w:rPr>
          <w:rFonts w:ascii="Times New Roman" w:hAnsi="Times New Roman" w:cs="Times New Roman"/>
          <w:color w:val="000000"/>
          <w:sz w:val="24"/>
          <w:szCs w:val="24"/>
        </w:rPr>
        <w:t>Presidente</w:t>
      </w: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tabs>
          <w:tab w:val="left" w:pos="4680"/>
        </w:tabs>
        <w:spacing w:after="0" w:line="240" w:lineRule="auto"/>
        <w:rPr>
          <w:rFonts w:ascii="Times New Roman" w:hAnsi="Times New Roman" w:cs="Times New Roman"/>
          <w:color w:val="000000"/>
          <w:sz w:val="24"/>
          <w:szCs w:val="24"/>
        </w:rPr>
      </w:pPr>
      <w:r w:rsidRPr="00B82285">
        <w:rPr>
          <w:rFonts w:ascii="Times New Roman" w:hAnsi="Times New Roman" w:cs="Times New Roman"/>
          <w:color w:val="000000"/>
          <w:sz w:val="24"/>
          <w:szCs w:val="24"/>
        </w:rPr>
        <w:t>Graciela Ocaña</w:t>
      </w:r>
      <w:r w:rsidRPr="00B82285">
        <w:rPr>
          <w:rFonts w:ascii="Times New Roman" w:hAnsi="Times New Roman" w:cs="Times New Roman"/>
          <w:color w:val="000000"/>
          <w:sz w:val="24"/>
          <w:szCs w:val="24"/>
        </w:rPr>
        <w:tab/>
        <w:t>Patricia Glize</w:t>
      </w:r>
    </w:p>
    <w:p w:rsidR="00814FB1" w:rsidRPr="00B82285" w:rsidRDefault="00814FB1" w:rsidP="00B82285">
      <w:pPr>
        <w:pStyle w:val="normal0"/>
        <w:pBdr>
          <w:top w:val="nil"/>
          <w:left w:val="nil"/>
          <w:bottom w:val="nil"/>
          <w:right w:val="nil"/>
          <w:between w:val="nil"/>
        </w:pBdr>
        <w:tabs>
          <w:tab w:val="left" w:pos="4680"/>
        </w:tabs>
        <w:spacing w:after="0" w:line="240" w:lineRule="auto"/>
        <w:rPr>
          <w:rFonts w:ascii="Times New Roman" w:hAnsi="Times New Roman" w:cs="Times New Roman"/>
          <w:color w:val="000000"/>
          <w:sz w:val="24"/>
          <w:szCs w:val="24"/>
        </w:rPr>
      </w:pPr>
      <w:r w:rsidRPr="00B82285">
        <w:rPr>
          <w:rFonts w:ascii="Times New Roman" w:hAnsi="Times New Roman" w:cs="Times New Roman"/>
          <w:color w:val="000000"/>
          <w:sz w:val="24"/>
          <w:szCs w:val="24"/>
        </w:rPr>
        <w:t>Vicepresidenta 1ª</w:t>
      </w:r>
      <w:r w:rsidRPr="00B82285">
        <w:rPr>
          <w:rFonts w:ascii="Times New Roman" w:hAnsi="Times New Roman" w:cs="Times New Roman"/>
          <w:color w:val="000000"/>
          <w:sz w:val="24"/>
          <w:szCs w:val="24"/>
        </w:rPr>
        <w:tab/>
        <w:t>Vicepresidenta 2ª</w:t>
      </w: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2C4880" w:rsidRPr="00B82285" w:rsidRDefault="002C4880"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2C4880" w:rsidRPr="00B82285" w:rsidRDefault="002C4880"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tabs>
          <w:tab w:val="left" w:pos="4680"/>
        </w:tabs>
        <w:spacing w:after="0" w:line="240" w:lineRule="auto"/>
        <w:rPr>
          <w:rFonts w:ascii="Times New Roman" w:hAnsi="Times New Roman" w:cs="Times New Roman"/>
          <w:color w:val="000000"/>
          <w:sz w:val="24"/>
          <w:szCs w:val="24"/>
        </w:rPr>
      </w:pPr>
      <w:r w:rsidRPr="00B82285">
        <w:rPr>
          <w:rFonts w:ascii="Times New Roman" w:hAnsi="Times New Roman" w:cs="Times New Roman"/>
          <w:color w:val="000000"/>
          <w:sz w:val="24"/>
          <w:szCs w:val="24"/>
        </w:rPr>
        <w:t>María Bielli</w:t>
      </w:r>
      <w:r w:rsidRPr="00B82285">
        <w:rPr>
          <w:rFonts w:ascii="Times New Roman" w:hAnsi="Times New Roman" w:cs="Times New Roman"/>
          <w:color w:val="000000"/>
          <w:sz w:val="24"/>
          <w:szCs w:val="24"/>
        </w:rPr>
        <w:tab/>
        <w:t>Federico Mochi</w:t>
      </w: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2C4880" w:rsidRPr="00B82285" w:rsidRDefault="002C4880"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tabs>
          <w:tab w:val="left" w:pos="4680"/>
        </w:tabs>
        <w:spacing w:after="0" w:line="240" w:lineRule="auto"/>
        <w:rPr>
          <w:rFonts w:ascii="Times New Roman" w:hAnsi="Times New Roman" w:cs="Times New Roman"/>
          <w:color w:val="000000"/>
          <w:sz w:val="24"/>
          <w:szCs w:val="24"/>
        </w:rPr>
      </w:pPr>
      <w:r w:rsidRPr="00B82285">
        <w:rPr>
          <w:rFonts w:ascii="Times New Roman" w:hAnsi="Times New Roman" w:cs="Times New Roman"/>
          <w:color w:val="000000"/>
          <w:sz w:val="24"/>
          <w:szCs w:val="24"/>
        </w:rPr>
        <w:t>María Fernanda Mollard</w:t>
      </w:r>
      <w:r w:rsidRPr="00B82285">
        <w:rPr>
          <w:rFonts w:ascii="Times New Roman" w:hAnsi="Times New Roman" w:cs="Times New Roman"/>
          <w:color w:val="000000"/>
          <w:sz w:val="24"/>
          <w:szCs w:val="24"/>
        </w:rPr>
        <w:tab/>
        <w:t>Leonardo Saifert</w:t>
      </w: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2C4880" w:rsidRPr="00B82285" w:rsidRDefault="002C4880"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B82285" w:rsidRDefault="00814FB1" w:rsidP="00B82285">
      <w:pPr>
        <w:pStyle w:val="normal0"/>
        <w:pBdr>
          <w:top w:val="nil"/>
          <w:left w:val="nil"/>
          <w:bottom w:val="nil"/>
          <w:right w:val="nil"/>
          <w:between w:val="nil"/>
        </w:pBdr>
        <w:tabs>
          <w:tab w:val="left" w:pos="4680"/>
        </w:tabs>
        <w:spacing w:after="0" w:line="240" w:lineRule="auto"/>
        <w:rPr>
          <w:rFonts w:ascii="Times New Roman" w:hAnsi="Times New Roman" w:cs="Times New Roman"/>
          <w:color w:val="000000"/>
          <w:sz w:val="24"/>
          <w:szCs w:val="24"/>
        </w:rPr>
      </w:pPr>
      <w:r w:rsidRPr="00B82285">
        <w:rPr>
          <w:rFonts w:ascii="Times New Roman" w:hAnsi="Times New Roman" w:cs="Times New Roman"/>
          <w:color w:val="000000"/>
          <w:sz w:val="24"/>
          <w:szCs w:val="24"/>
        </w:rPr>
        <w:t>Diego Manuel Vartabedian</w:t>
      </w:r>
      <w:r w:rsidRPr="00B82285">
        <w:rPr>
          <w:rFonts w:ascii="Times New Roman" w:hAnsi="Times New Roman" w:cs="Times New Roman"/>
          <w:color w:val="000000"/>
          <w:sz w:val="24"/>
          <w:szCs w:val="24"/>
        </w:rPr>
        <w:tab/>
        <w:t>Gimena Villafruela</w:t>
      </w:r>
    </w:p>
    <w:p w:rsidR="00814FB1" w:rsidRPr="00B82285" w:rsidRDefault="00814FB1" w:rsidP="00B82285">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0A3459" w:rsidRPr="00B82285" w:rsidRDefault="000A3459" w:rsidP="00B82285">
      <w:pPr>
        <w:pStyle w:val="Sinespaciado"/>
        <w:rPr>
          <w:rFonts w:ascii="Times New Roman" w:hAnsi="Times New Roman" w:cs="Times New Roman"/>
        </w:rPr>
      </w:pPr>
    </w:p>
    <w:sectPr w:rsidR="000A3459" w:rsidRPr="00B82285" w:rsidSect="00C60B5C">
      <w:headerReference w:type="default" r:id="rId7"/>
      <w:footerReference w:type="default" r:id="rId8"/>
      <w:pgSz w:w="12240" w:h="20160" w:code="5"/>
      <w:pgMar w:top="1418" w:right="1701" w:bottom="1418" w:left="1701" w:header="709"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669" w:rsidRDefault="009A2669" w:rsidP="00AF6364">
      <w:pPr>
        <w:spacing w:after="0" w:line="240" w:lineRule="auto"/>
      </w:pPr>
      <w:r>
        <w:separator/>
      </w:r>
    </w:p>
  </w:endnote>
  <w:endnote w:type="continuationSeparator" w:id="0">
    <w:p w:rsidR="009A2669" w:rsidRDefault="009A2669"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Aptos Display">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AF35B2">
    <w:pPr>
      <w:pStyle w:val="Piedepgina"/>
      <w:ind w:left="142"/>
      <w:rPr>
        <w:noProof/>
        <w:color w:val="333333"/>
        <w:sz w:val="20"/>
      </w:rPr>
    </w:pPr>
    <w:r w:rsidRPr="001C19C4">
      <w:rPr>
        <w:color w:val="333333"/>
        <w:sz w:val="20"/>
      </w:rPr>
      <w:t xml:space="preserve">Último cambio: </w:t>
    </w:r>
    <w:fldSimple w:instr=" SAVEDATE  \* MERGEFORMAT ">
      <w:r w:rsidR="009348DB" w:rsidRPr="009348DB">
        <w:rPr>
          <w:noProof/>
          <w:color w:val="333333"/>
          <w:sz w:val="20"/>
        </w:rPr>
        <w:t>8/6/2026 14:24:00</w:t>
      </w:r>
    </w:fldSimple>
    <w:r w:rsidRPr="001C19C4">
      <w:rPr>
        <w:color w:val="333333"/>
        <w:sz w:val="20"/>
      </w:rPr>
      <w:t xml:space="preserve">  -  Cantidad de caracteres: </w:t>
    </w:r>
    <w:fldSimple w:instr=" NUMCHARS  \* MERGEFORMAT ">
      <w:r w:rsidR="009348DB" w:rsidRPr="009348DB">
        <w:rPr>
          <w:noProof/>
          <w:color w:val="333333"/>
          <w:sz w:val="20"/>
        </w:rPr>
        <w:t>8124</w:t>
      </w:r>
    </w:fldSimple>
    <w:r w:rsidRPr="001C19C4">
      <w:rPr>
        <w:color w:val="333333"/>
        <w:sz w:val="20"/>
      </w:rPr>
      <w:t xml:space="preserve"> - Cantidad de palabras: </w:t>
    </w:r>
    <w:fldSimple w:instr=" NUMWORDS  \* MERGEFORMAT ">
      <w:r w:rsidR="009348DB" w:rsidRPr="009348DB">
        <w:rPr>
          <w:noProof/>
          <w:color w:val="333333"/>
          <w:sz w:val="20"/>
        </w:rPr>
        <w:t>1529</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0B1BFA" w:rsidRPr="001C19C4">
      <w:rPr>
        <w:rStyle w:val="Nmerodepgina"/>
        <w:color w:val="333333"/>
      </w:rPr>
      <w:fldChar w:fldCharType="begin"/>
    </w:r>
    <w:r w:rsidRPr="001C19C4">
      <w:rPr>
        <w:rStyle w:val="Nmerodepgina"/>
        <w:color w:val="333333"/>
      </w:rPr>
      <w:instrText xml:space="preserve"> PAGE </w:instrText>
    </w:r>
    <w:r w:rsidR="000B1BFA" w:rsidRPr="001C19C4">
      <w:rPr>
        <w:rStyle w:val="Nmerodepgina"/>
        <w:color w:val="333333"/>
      </w:rPr>
      <w:fldChar w:fldCharType="separate"/>
    </w:r>
    <w:r w:rsidR="009348DB">
      <w:rPr>
        <w:rStyle w:val="Nmerodepgina"/>
        <w:noProof/>
        <w:color w:val="333333"/>
      </w:rPr>
      <w:t>2</w:t>
    </w:r>
    <w:r w:rsidR="000B1BFA" w:rsidRPr="001C19C4">
      <w:rPr>
        <w:rStyle w:val="Nmerodepgina"/>
        <w:color w:val="333333"/>
      </w:rPr>
      <w:fldChar w:fldCharType="end"/>
    </w:r>
    <w:r w:rsidRPr="001C19C4">
      <w:rPr>
        <w:rStyle w:val="Nmerodepgina"/>
        <w:color w:val="333333"/>
      </w:rPr>
      <w:t>/</w:t>
    </w:r>
    <w:fldSimple w:instr=" NUMPAGES  \* MERGEFORMAT ">
      <w:r w:rsidR="009348DB">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669" w:rsidRDefault="009A2669" w:rsidP="00AF6364">
      <w:pPr>
        <w:spacing w:after="0" w:line="240" w:lineRule="auto"/>
      </w:pPr>
      <w:r>
        <w:separator/>
      </w:r>
    </w:p>
  </w:footnote>
  <w:footnote w:type="continuationSeparator" w:id="0">
    <w:p w:rsidR="009A2669" w:rsidRDefault="009A2669"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31A" w:rsidRDefault="001B631A">
    <w:pPr>
      <w:pStyle w:val="Encabezado"/>
    </w:pPr>
    <w:r w:rsidRPr="001B631A">
      <w:rPr>
        <w:noProof/>
        <w:lang w:val="es-ES" w:eastAsia="es-ES"/>
      </w:rPr>
      <w:drawing>
        <wp:anchor distT="0" distB="0" distL="114300" distR="114300" simplePos="0" relativeHeight="251658240" behindDoc="1" locked="0" layoutInCell="1" allowOverlap="1">
          <wp:simplePos x="0" y="0"/>
          <wp:positionH relativeFrom="margin">
            <wp:posOffset>1647825</wp:posOffset>
          </wp:positionH>
          <wp:positionV relativeFrom="paragraph">
            <wp:posOffset>-274955</wp:posOffset>
          </wp:positionV>
          <wp:extent cx="2421255" cy="687705"/>
          <wp:effectExtent l="0" t="0" r="0" b="0"/>
          <wp:wrapTight wrapText="bothSides">
            <wp:wrapPolygon edited="0">
              <wp:start x="0" y="0"/>
              <wp:lineTo x="0" y="20942"/>
              <wp:lineTo x="21413" y="20942"/>
              <wp:lineTo x="21413" y="0"/>
              <wp:lineTo x="0" y="0"/>
            </wp:wrapPolygon>
          </wp:wrapTight>
          <wp:docPr id="1276997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o="urn:schemas-microsoft-com:office:office" xmlns:v="urn:schemas-microsoft-com:vml" xmlns:w10="urn:schemas-microsoft-com:office:word" xmlns:w="http://schemas.openxmlformats.org/wordprocessingml/2006/main" xmlns="" xmlns:a14="http://schemas.microsoft.com/office/drawing/2010/main" val="0"/>
                      </a:ext>
                    </a:extLst>
                  </a:blip>
                  <a:srcRect/>
                  <a:stretch>
                    <a:fillRect/>
                  </a:stretch>
                </pic:blipFill>
                <pic:spPr bwMode="auto">
                  <a:xfrm>
                    <a:off x="0" y="0"/>
                    <a:ext cx="2421255" cy="687705"/>
                  </a:xfrm>
                  <a:prstGeom prst="rect">
                    <a:avLst/>
                  </a:prstGeom>
                  <a:noFill/>
                  <a:ln>
                    <a:noFill/>
                  </a:ln>
                </pic:spPr>
              </pic:pic>
            </a:graphicData>
          </a:graphic>
        </wp:anchor>
      </w:drawing>
    </w:r>
  </w:p>
  <w:p w:rsidR="001B631A" w:rsidRDefault="001B631A">
    <w:pPr>
      <w:pStyle w:val="Encabezado"/>
    </w:pPr>
  </w:p>
  <w:p w:rsidR="001B631A" w:rsidRDefault="001B631A">
    <w:pPr>
      <w:pStyle w:val="Encabezado"/>
    </w:pPr>
  </w:p>
  <w:p w:rsidR="002C4880" w:rsidRDefault="000A3459" w:rsidP="000A3459">
    <w:pPr>
      <w:pStyle w:val="Encabezado"/>
      <w:jc w:val="right"/>
      <w:rPr>
        <w:b/>
      </w:rPr>
    </w:pPr>
    <w:r>
      <w:tab/>
    </w:r>
    <w:r>
      <w:tab/>
    </w:r>
    <w:r w:rsidR="005B1B1D">
      <w:rPr>
        <w:b/>
      </w:rPr>
      <w:t>EXPEDIENTE</w:t>
    </w:r>
    <w:r>
      <w:rPr>
        <w:b/>
      </w:rPr>
      <w:t xml:space="preserve"> N° 356-D-2026 </w:t>
    </w:r>
  </w:p>
  <w:p w:rsidR="002C4880" w:rsidRDefault="005B1B1D" w:rsidP="000A3459">
    <w:pPr>
      <w:pStyle w:val="Encabezado"/>
      <w:jc w:val="right"/>
      <w:rPr>
        <w:b/>
      </w:rPr>
    </w:pPr>
    <w:proofErr w:type="gramStart"/>
    <w:r>
      <w:rPr>
        <w:b/>
      </w:rPr>
      <w:t>y</w:t>
    </w:r>
    <w:proofErr w:type="gramEnd"/>
    <w:r w:rsidR="002C4880">
      <w:rPr>
        <w:b/>
      </w:rPr>
      <w:t xml:space="preserve"> agregado</w:t>
    </w:r>
    <w:r w:rsidR="000A3459">
      <w:rPr>
        <w:b/>
      </w:rPr>
      <w:t xml:space="preserve"> </w:t>
    </w:r>
  </w:p>
  <w:p w:rsidR="00AF6364" w:rsidRDefault="005B1B1D" w:rsidP="000A3459">
    <w:pPr>
      <w:pStyle w:val="Encabezado"/>
      <w:jc w:val="right"/>
      <w:rPr>
        <w:b/>
      </w:rPr>
    </w:pPr>
    <w:r>
      <w:rPr>
        <w:b/>
      </w:rPr>
      <w:t xml:space="preserve">EXPEDIENTE </w:t>
    </w:r>
    <w:r w:rsidR="002C4880">
      <w:rPr>
        <w:b/>
      </w:rPr>
      <w:t xml:space="preserve">N° </w:t>
    </w:r>
    <w:r w:rsidR="000A3459">
      <w:rPr>
        <w:b/>
      </w:rPr>
      <w:t>701-D-2026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30722"/>
  </w:hdrShapeDefaults>
  <w:footnotePr>
    <w:footnote w:id="-1"/>
    <w:footnote w:id="0"/>
  </w:footnotePr>
  <w:endnotePr>
    <w:endnote w:id="-1"/>
    <w:endnote w:id="0"/>
  </w:endnotePr>
  <w:compat/>
  <w:rsids>
    <w:rsidRoot w:val="001B631A"/>
    <w:rsid w:val="0003188F"/>
    <w:rsid w:val="000A3459"/>
    <w:rsid w:val="000B1BFA"/>
    <w:rsid w:val="000D072A"/>
    <w:rsid w:val="000F0483"/>
    <w:rsid w:val="000F4B2B"/>
    <w:rsid w:val="001571A5"/>
    <w:rsid w:val="001B631A"/>
    <w:rsid w:val="00215624"/>
    <w:rsid w:val="0024086C"/>
    <w:rsid w:val="002B0876"/>
    <w:rsid w:val="002B3885"/>
    <w:rsid w:val="002C41C5"/>
    <w:rsid w:val="002C4880"/>
    <w:rsid w:val="002D6623"/>
    <w:rsid w:val="003A30EB"/>
    <w:rsid w:val="00425C91"/>
    <w:rsid w:val="004420A9"/>
    <w:rsid w:val="00474DEC"/>
    <w:rsid w:val="004D4EC2"/>
    <w:rsid w:val="004E2FB2"/>
    <w:rsid w:val="004F14B4"/>
    <w:rsid w:val="00516BBD"/>
    <w:rsid w:val="0054212E"/>
    <w:rsid w:val="00597CD1"/>
    <w:rsid w:val="005A7929"/>
    <w:rsid w:val="005A7FB5"/>
    <w:rsid w:val="005B1B1D"/>
    <w:rsid w:val="00646C3C"/>
    <w:rsid w:val="006B6C55"/>
    <w:rsid w:val="006D1BAF"/>
    <w:rsid w:val="006E4861"/>
    <w:rsid w:val="0072782F"/>
    <w:rsid w:val="00746F04"/>
    <w:rsid w:val="00772DB9"/>
    <w:rsid w:val="00776CDC"/>
    <w:rsid w:val="00785CAD"/>
    <w:rsid w:val="007F2C91"/>
    <w:rsid w:val="00813615"/>
    <w:rsid w:val="0081386C"/>
    <w:rsid w:val="00814FB1"/>
    <w:rsid w:val="00833B3D"/>
    <w:rsid w:val="00852A91"/>
    <w:rsid w:val="008774D6"/>
    <w:rsid w:val="00887FEC"/>
    <w:rsid w:val="008D7089"/>
    <w:rsid w:val="0090196C"/>
    <w:rsid w:val="009348DB"/>
    <w:rsid w:val="00947DB0"/>
    <w:rsid w:val="0099664C"/>
    <w:rsid w:val="009A2669"/>
    <w:rsid w:val="009A4135"/>
    <w:rsid w:val="009F3381"/>
    <w:rsid w:val="00A40AA2"/>
    <w:rsid w:val="00A678BC"/>
    <w:rsid w:val="00A93A3C"/>
    <w:rsid w:val="00AD7265"/>
    <w:rsid w:val="00AF35B2"/>
    <w:rsid w:val="00AF3B91"/>
    <w:rsid w:val="00AF619E"/>
    <w:rsid w:val="00AF6364"/>
    <w:rsid w:val="00B82285"/>
    <w:rsid w:val="00B97EEA"/>
    <w:rsid w:val="00BE39F7"/>
    <w:rsid w:val="00C60B5C"/>
    <w:rsid w:val="00CB3E70"/>
    <w:rsid w:val="00CC7843"/>
    <w:rsid w:val="00CD23B6"/>
    <w:rsid w:val="00D8178C"/>
    <w:rsid w:val="00DA475C"/>
    <w:rsid w:val="00DA6887"/>
    <w:rsid w:val="00E12202"/>
    <w:rsid w:val="00EF4BFD"/>
    <w:rsid w:val="00EF65D8"/>
    <w:rsid w:val="00F12D56"/>
    <w:rsid w:val="00F47AFC"/>
    <w:rsid w:val="00FC1B7D"/>
    <w:rsid w:val="00FC7D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B5"/>
    <w:rPr>
      <w:rFonts w:ascii="Aptos" w:eastAsia="Aptos" w:hAnsi="Aptos" w:cs="Aptos"/>
      <w:kern w:val="0"/>
      <w:lang w:val="es-ES" w:eastAsia="es-ES"/>
    </w:rPr>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s-AR" w:eastAsia="en-US"/>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s-AR" w:eastAsia="en-US"/>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s-AR" w:eastAsia="en-US"/>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asciiTheme="minorHAnsi" w:eastAsiaTheme="majorEastAsia" w:hAnsiTheme="minorHAnsi" w:cstheme="majorBidi"/>
      <w:i/>
      <w:iCs/>
      <w:color w:val="0F4761" w:themeColor="accent1" w:themeShade="BF"/>
      <w:kern w:val="2"/>
      <w:lang w:val="es-AR" w:eastAsia="en-US"/>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asciiTheme="minorHAnsi" w:eastAsiaTheme="majorEastAsia" w:hAnsiTheme="minorHAnsi" w:cstheme="majorBidi"/>
      <w:color w:val="0F4761" w:themeColor="accent1" w:themeShade="BF"/>
      <w:kern w:val="2"/>
      <w:lang w:val="es-AR" w:eastAsia="en-US"/>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asciiTheme="minorHAnsi" w:eastAsiaTheme="majorEastAsia" w:hAnsiTheme="minorHAnsi" w:cstheme="majorBidi"/>
      <w:i/>
      <w:iCs/>
      <w:color w:val="595959" w:themeColor="text1" w:themeTint="A6"/>
      <w:kern w:val="2"/>
      <w:lang w:val="es-AR" w:eastAsia="en-US"/>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asciiTheme="minorHAnsi" w:eastAsiaTheme="majorEastAsia" w:hAnsiTheme="minorHAnsi" w:cstheme="majorBidi"/>
      <w:color w:val="595959" w:themeColor="text1" w:themeTint="A6"/>
      <w:kern w:val="2"/>
      <w:lang w:val="es-AR" w:eastAsia="en-US"/>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asciiTheme="minorHAnsi" w:eastAsiaTheme="majorEastAsia" w:hAnsiTheme="minorHAnsi" w:cstheme="majorBidi"/>
      <w:i/>
      <w:iCs/>
      <w:color w:val="272727" w:themeColor="text1" w:themeTint="D8"/>
      <w:kern w:val="2"/>
      <w:lang w:val="es-AR" w:eastAsia="en-US"/>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asciiTheme="minorHAnsi" w:eastAsiaTheme="majorEastAsia" w:hAnsiTheme="minorHAnsi" w:cstheme="majorBidi"/>
      <w:color w:val="272727" w:themeColor="text1" w:themeTint="D8"/>
      <w:kern w:val="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lang w:val="es-AR" w:eastAsia="en-US"/>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asciiTheme="minorHAnsi" w:eastAsiaTheme="majorEastAsia" w:hAnsiTheme="minorHAnsi" w:cstheme="majorBidi"/>
      <w:color w:val="595959" w:themeColor="text1" w:themeTint="A6"/>
      <w:spacing w:val="15"/>
      <w:kern w:val="2"/>
      <w:sz w:val="28"/>
      <w:szCs w:val="28"/>
      <w:lang w:val="es-AR" w:eastAsia="en-US"/>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rFonts w:asciiTheme="minorHAnsi" w:eastAsiaTheme="minorHAnsi" w:hAnsiTheme="minorHAnsi" w:cstheme="minorBidi"/>
      <w:i/>
      <w:iCs/>
      <w:color w:val="404040" w:themeColor="text1" w:themeTint="BF"/>
      <w:kern w:val="2"/>
      <w:lang w:val="es-AR" w:eastAsia="en-US"/>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rPr>
      <w:rFonts w:asciiTheme="minorHAnsi" w:eastAsiaTheme="minorHAnsi" w:hAnsiTheme="minorHAnsi" w:cstheme="minorBidi"/>
      <w:kern w:val="2"/>
      <w:lang w:val="es-AR" w:eastAsia="en-US"/>
    </w:r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s-AR" w:eastAsia="en-US"/>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rPr>
      <w:rFonts w:asciiTheme="minorHAnsi" w:eastAsiaTheme="minorHAnsi" w:hAnsiTheme="minorHAnsi" w:cstheme="minorBidi"/>
      <w:kern w:val="2"/>
      <w:lang w:val="es-AR" w:eastAsia="en-US"/>
    </w:r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rPr>
      <w:rFonts w:asciiTheme="minorHAnsi" w:eastAsiaTheme="minorHAnsi" w:hAnsiTheme="minorHAnsi" w:cstheme="minorBidi"/>
      <w:kern w:val="2"/>
      <w:lang w:val="es-AR" w:eastAsia="en-US"/>
    </w:r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styleId="NormalWeb">
    <w:name w:val="Normal (Web)"/>
    <w:basedOn w:val="Normal"/>
    <w:uiPriority w:val="99"/>
    <w:semiHidden/>
    <w:unhideWhenUsed/>
    <w:rsid w:val="00776C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776CDC"/>
  </w:style>
  <w:style w:type="character" w:styleId="Hipervnculo">
    <w:name w:val="Hyperlink"/>
    <w:basedOn w:val="Fuentedeprrafopredeter"/>
    <w:uiPriority w:val="99"/>
    <w:semiHidden/>
    <w:unhideWhenUsed/>
    <w:rsid w:val="00776CDC"/>
    <w:rPr>
      <w:color w:val="0000FF"/>
      <w:u w:val="single"/>
    </w:rPr>
  </w:style>
  <w:style w:type="paragraph" w:styleId="Sinespaciado">
    <w:name w:val="No Spacing"/>
    <w:uiPriority w:val="1"/>
    <w:qFormat/>
    <w:rsid w:val="000A3459"/>
    <w:pPr>
      <w:spacing w:after="0" w:line="240" w:lineRule="auto"/>
    </w:pPr>
    <w:rPr>
      <w:sz w:val="24"/>
      <w:szCs w:val="24"/>
    </w:rPr>
  </w:style>
  <w:style w:type="paragraph" w:customStyle="1" w:styleId="normal0">
    <w:name w:val="normal"/>
    <w:rsid w:val="00814FB1"/>
    <w:rPr>
      <w:rFonts w:ascii="Aptos" w:eastAsia="Aptos" w:hAnsi="Aptos" w:cs="Aptos"/>
      <w:kern w:val="0"/>
      <w:lang w:eastAsia="es-ES"/>
    </w:rPr>
  </w:style>
</w:styles>
</file>

<file path=word/webSettings.xml><?xml version="1.0" encoding="utf-8"?>
<w:webSettings xmlns:r="http://schemas.openxmlformats.org/officeDocument/2006/relationships" xmlns:w="http://schemas.openxmlformats.org/wordprocessingml/2006/main">
  <w:divs>
    <w:div w:id="386338291">
      <w:bodyDiv w:val="1"/>
      <w:marLeft w:val="0"/>
      <w:marRight w:val="0"/>
      <w:marTop w:val="0"/>
      <w:marBottom w:val="0"/>
      <w:divBdr>
        <w:top w:val="none" w:sz="0" w:space="0" w:color="auto"/>
        <w:left w:val="none" w:sz="0" w:space="0" w:color="auto"/>
        <w:bottom w:val="none" w:sz="0" w:space="0" w:color="auto"/>
        <w:right w:val="none" w:sz="0" w:space="0" w:color="auto"/>
      </w:divBdr>
    </w:div>
    <w:div w:id="1052537492">
      <w:bodyDiv w:val="1"/>
      <w:marLeft w:val="0"/>
      <w:marRight w:val="0"/>
      <w:marTop w:val="0"/>
      <w:marBottom w:val="0"/>
      <w:divBdr>
        <w:top w:val="none" w:sz="0" w:space="0" w:color="auto"/>
        <w:left w:val="none" w:sz="0" w:space="0" w:color="auto"/>
        <w:bottom w:val="none" w:sz="0" w:space="0" w:color="auto"/>
        <w:right w:val="none" w:sz="0" w:space="0" w:color="auto"/>
      </w:divBdr>
    </w:div>
    <w:div w:id="109925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CBE53-A97A-4AE7-BF7A-601B4F321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1529</Words>
  <Characters>8124</Characters>
  <Application>Microsoft Office Word</Application>
  <DocSecurity>0</DocSecurity>
  <Lines>175</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Javier Rios</dc:creator>
  <cp:lastModifiedBy>carocabado</cp:lastModifiedBy>
  <cp:revision>4</cp:revision>
  <cp:lastPrinted>2026-06-08T17:37:00Z</cp:lastPrinted>
  <dcterms:created xsi:type="dcterms:W3CDTF">2026-06-08T17:24:00Z</dcterms:created>
  <dcterms:modified xsi:type="dcterms:W3CDTF">2026-06-08T17:38:00Z</dcterms:modified>
</cp:coreProperties>
</file>