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675297">
        <w:rPr>
          <w:szCs w:val="24"/>
          <w:lang w:val="es-ES"/>
        </w:rPr>
        <w:t>1057</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CF0AE5" w:rsidRPr="00E94781" w:rsidRDefault="00CF0AE5" w:rsidP="00C513EF">
      <w:pPr>
        <w:rPr>
          <w:szCs w:val="24"/>
        </w:rPr>
      </w:pPr>
      <w:r w:rsidRPr="00E94781">
        <w:rPr>
          <w:szCs w:val="24"/>
        </w:rPr>
        <w:t xml:space="preserve">El expediente </w:t>
      </w:r>
      <w:r w:rsidR="003F08F0">
        <w:rPr>
          <w:szCs w:val="24"/>
        </w:rPr>
        <w:t>1057</w:t>
      </w:r>
      <w:r w:rsidRPr="00E94781">
        <w:rPr>
          <w:szCs w:val="24"/>
        </w:rPr>
        <w:t>-</w:t>
      </w:r>
      <w:r w:rsidR="006576F3">
        <w:rPr>
          <w:szCs w:val="24"/>
        </w:rPr>
        <w:t>D</w:t>
      </w:r>
      <w:r w:rsidRPr="00E94781">
        <w:rPr>
          <w:szCs w:val="24"/>
        </w:rPr>
        <w:t>-2026</w:t>
      </w:r>
      <w:r w:rsidR="00E94781">
        <w:rPr>
          <w:szCs w:val="24"/>
        </w:rPr>
        <w:t>, de autoría de</w:t>
      </w:r>
      <w:r w:rsidR="004714FB">
        <w:rPr>
          <w:szCs w:val="24"/>
        </w:rPr>
        <w:t xml:space="preserve"> la</w:t>
      </w:r>
      <w:r w:rsidR="00C513EF">
        <w:rPr>
          <w:szCs w:val="24"/>
        </w:rPr>
        <w:t xml:space="preserve"> </w:t>
      </w:r>
      <w:r w:rsidR="0081158B">
        <w:rPr>
          <w:szCs w:val="24"/>
        </w:rPr>
        <w:t>diputad</w:t>
      </w:r>
      <w:r w:rsidR="004714FB">
        <w:rPr>
          <w:szCs w:val="24"/>
        </w:rPr>
        <w:t>a</w:t>
      </w:r>
      <w:r w:rsidR="00C513EF">
        <w:rPr>
          <w:szCs w:val="24"/>
        </w:rPr>
        <w:t xml:space="preserve"> </w:t>
      </w:r>
      <w:r w:rsidR="003F08F0">
        <w:rPr>
          <w:szCs w:val="24"/>
        </w:rPr>
        <w:t>Peñafort, Graciana</w:t>
      </w:r>
      <w:r w:rsidR="00C513EF">
        <w:rPr>
          <w:szCs w:val="24"/>
        </w:rPr>
        <w:t>,</w:t>
      </w:r>
      <w:r w:rsidR="00E35A94">
        <w:rPr>
          <w:szCs w:val="24"/>
        </w:rPr>
        <w:t xml:space="preserve"> referido a declarar</w:t>
      </w:r>
      <w:r w:rsidR="003F08F0">
        <w:rPr>
          <w:szCs w:val="24"/>
        </w:rPr>
        <w:t xml:space="preserve"> de</w:t>
      </w:r>
      <w:r w:rsidR="00E35A94">
        <w:rPr>
          <w:szCs w:val="24"/>
        </w:rPr>
        <w:t xml:space="preserve"> </w:t>
      </w:r>
      <w:r w:rsidR="003F08F0" w:rsidRPr="003F08F0">
        <w:rPr>
          <w:szCs w:val="24"/>
        </w:rPr>
        <w:t>Interés Cultural para la Ciudad Autónoma de Buenos Aires el libro “Arte, Diseño y Contracultura” de José Ricardo Cohen “</w:t>
      </w:r>
      <w:proofErr w:type="spellStart"/>
      <w:r w:rsidR="003F08F0" w:rsidRPr="003F08F0">
        <w:rPr>
          <w:szCs w:val="24"/>
        </w:rPr>
        <w:t>Rocambole</w:t>
      </w:r>
      <w:proofErr w:type="spellEnd"/>
      <w:r w:rsidR="003F08F0" w:rsidRPr="003F08F0">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1311B6" w:rsidRDefault="001311B6" w:rsidP="001311B6">
      <w:pPr>
        <w:rPr>
          <w:szCs w:val="24"/>
        </w:rPr>
      </w:pPr>
      <w:r>
        <w:rPr>
          <w:szCs w:val="24"/>
        </w:rPr>
        <w:t>Que e</w:t>
      </w:r>
      <w:r w:rsidRPr="001311B6">
        <w:rPr>
          <w:szCs w:val="24"/>
        </w:rPr>
        <w:t xml:space="preserve">l libro </w:t>
      </w:r>
      <w:r>
        <w:rPr>
          <w:szCs w:val="24"/>
        </w:rPr>
        <w:t>“</w:t>
      </w:r>
      <w:r w:rsidRPr="001311B6">
        <w:rPr>
          <w:szCs w:val="24"/>
        </w:rPr>
        <w:t>Arte, diseño y contracultura</w:t>
      </w:r>
      <w:r>
        <w:rPr>
          <w:szCs w:val="24"/>
        </w:rPr>
        <w:t>”</w:t>
      </w:r>
      <w:r w:rsidRPr="001311B6">
        <w:rPr>
          <w:szCs w:val="24"/>
        </w:rPr>
        <w:t>, de José Ricardo Cohen —reconocido artista visual, diseñador gráfico, figura clave en la construcción estética del rock nacional y declarado personalidad destacada de la cultura por esta Casa— constituye una obra de gran relevancia para el análisis del cruce entre producción artística, comunicación visual y procesos culturales alternativos.</w:t>
      </w:r>
    </w:p>
    <w:p w:rsidR="001311B6" w:rsidRDefault="001311B6" w:rsidP="001311B6">
      <w:pPr>
        <w:rPr>
          <w:szCs w:val="24"/>
        </w:rPr>
      </w:pPr>
    </w:p>
    <w:p w:rsidR="001311B6" w:rsidRDefault="001311B6" w:rsidP="001311B6">
      <w:pPr>
        <w:rPr>
          <w:szCs w:val="24"/>
        </w:rPr>
      </w:pPr>
      <w:r>
        <w:rPr>
          <w:szCs w:val="24"/>
        </w:rPr>
        <w:t xml:space="preserve">Que </w:t>
      </w:r>
      <w:r w:rsidRPr="001311B6">
        <w:rPr>
          <w:szCs w:val="24"/>
        </w:rPr>
        <w:t>“</w:t>
      </w:r>
      <w:proofErr w:type="spellStart"/>
      <w:r w:rsidRPr="001311B6">
        <w:rPr>
          <w:szCs w:val="24"/>
        </w:rPr>
        <w:t>Rocambole</w:t>
      </w:r>
      <w:proofErr w:type="spellEnd"/>
      <w:r w:rsidRPr="001311B6">
        <w:rPr>
          <w:szCs w:val="24"/>
        </w:rPr>
        <w:t xml:space="preserve">”, ampliamente conocido por su trabajo como ilustrador y director de arte de Patricio Rey y sus Redonditos de Ricota, “dedicó gran parte de su trayectoria a construir la identidad visual de una de las expresiones más influyentes de la música popular argentina” según cuenta José </w:t>
      </w:r>
      <w:proofErr w:type="spellStart"/>
      <w:r w:rsidRPr="001311B6">
        <w:rPr>
          <w:szCs w:val="24"/>
        </w:rPr>
        <w:t>Sotelo</w:t>
      </w:r>
      <w:proofErr w:type="spellEnd"/>
      <w:r w:rsidRPr="001311B6">
        <w:rPr>
          <w:szCs w:val="24"/>
        </w:rPr>
        <w:t>. Su obra ha desarrollado una estética singular que contribuyó a configurar imaginarios visuales asociados a la cultura popular y a los movimientos contraculturales desde finales del siglo XX.</w:t>
      </w:r>
    </w:p>
    <w:p w:rsidR="001311B6" w:rsidRDefault="001311B6" w:rsidP="001311B6">
      <w:pPr>
        <w:rPr>
          <w:szCs w:val="24"/>
        </w:rPr>
      </w:pPr>
    </w:p>
    <w:p w:rsidR="001311B6" w:rsidRDefault="001311B6" w:rsidP="001311B6">
      <w:pPr>
        <w:rPr>
          <w:szCs w:val="24"/>
        </w:rPr>
      </w:pPr>
      <w:r>
        <w:rPr>
          <w:szCs w:val="24"/>
        </w:rPr>
        <w:t>Que en</w:t>
      </w:r>
      <w:r w:rsidRPr="001311B6">
        <w:rPr>
          <w:szCs w:val="24"/>
        </w:rPr>
        <w:t xml:space="preserve"> este libro, el autor propone una lectura crítica del diseño como práctica situada, atravesada por tensiones políticas, sociales y culturales. Lejos de concebirlo únicamente como una herramienta funcional o comercial, lo presenta como un lenguaje capaz de disputar sentidos, construir identidad y vehiculizar formas de resistencia simbólica.</w:t>
      </w:r>
    </w:p>
    <w:p w:rsidR="001311B6" w:rsidRDefault="001311B6" w:rsidP="001311B6">
      <w:pPr>
        <w:rPr>
          <w:szCs w:val="24"/>
        </w:rPr>
      </w:pPr>
    </w:p>
    <w:p w:rsidR="001311B6" w:rsidRDefault="001311B6" w:rsidP="001311B6">
      <w:pPr>
        <w:rPr>
          <w:szCs w:val="24"/>
        </w:rPr>
      </w:pPr>
      <w:r>
        <w:rPr>
          <w:szCs w:val="24"/>
        </w:rPr>
        <w:t>Que l</w:t>
      </w:r>
      <w:r w:rsidRPr="001311B6">
        <w:rPr>
          <w:szCs w:val="24"/>
        </w:rPr>
        <w:t>a obra invita a repensar el rol del diseño y del arte en la configuración del espacio público, así como su potencial para interpelar discursos hegemónicos y promover miradas alternativas. En un contexto de creciente circulación de imágenes creadas artificialmente y discursos cada vez más estandarizados, este enfoque adquiere particular relevancia para comprender el lugar de la producción cultural en la actualidad.</w:t>
      </w:r>
    </w:p>
    <w:p w:rsidR="001311B6" w:rsidRDefault="001311B6" w:rsidP="001311B6">
      <w:pPr>
        <w:rPr>
          <w:szCs w:val="24"/>
        </w:rPr>
      </w:pPr>
    </w:p>
    <w:p w:rsidR="001311B6" w:rsidRDefault="001311B6" w:rsidP="001311B6">
      <w:pPr>
        <w:rPr>
          <w:szCs w:val="24"/>
        </w:rPr>
      </w:pPr>
      <w:r>
        <w:rPr>
          <w:szCs w:val="24"/>
        </w:rPr>
        <w:t>Que e</w:t>
      </w:r>
      <w:r w:rsidRPr="001311B6">
        <w:rPr>
          <w:szCs w:val="24"/>
        </w:rPr>
        <w:t>l libro recupera experiencias históricas de producción cultural vinculadas a la contracultura, estableciendo puentes entre distintas generaciones y ofreciendo herramientas conceptuales para interpretar procesos contemporáneos.</w:t>
      </w:r>
      <w:r>
        <w:rPr>
          <w:szCs w:val="24"/>
        </w:rPr>
        <w:t xml:space="preserve"> </w:t>
      </w:r>
    </w:p>
    <w:p w:rsidR="001311B6" w:rsidRDefault="001311B6" w:rsidP="001311B6">
      <w:pPr>
        <w:rPr>
          <w:szCs w:val="24"/>
        </w:rPr>
      </w:pPr>
    </w:p>
    <w:p w:rsidR="001311B6" w:rsidRDefault="001311B6" w:rsidP="001311B6">
      <w:pPr>
        <w:rPr>
          <w:szCs w:val="24"/>
        </w:rPr>
      </w:pPr>
      <w:r>
        <w:rPr>
          <w:szCs w:val="24"/>
        </w:rPr>
        <w:t>Que e</w:t>
      </w:r>
      <w:r w:rsidRPr="001311B6">
        <w:rPr>
          <w:szCs w:val="24"/>
        </w:rPr>
        <w:t>n palabras del propio Cohen: “El arte no tendría que formar parte del mercado de producción. Los seres humanos comemos, trabajamos, nos reproducimos y morimos. Más allá de eso, lo único trascendente que podemos hacer es el arte”. Esta afirmación sintetiza una concepción del arte como dimensión esencial de la experiencia humana, más allá de su valor utilitario.</w:t>
      </w:r>
    </w:p>
    <w:p w:rsidR="001311B6" w:rsidRPr="001311B6" w:rsidRDefault="001311B6" w:rsidP="001311B6">
      <w:pPr>
        <w:rPr>
          <w:szCs w:val="24"/>
        </w:rPr>
      </w:pPr>
    </w:p>
    <w:p w:rsidR="001714C1" w:rsidRPr="00E94781" w:rsidRDefault="001311B6" w:rsidP="001311B6">
      <w:pPr>
        <w:rPr>
          <w:szCs w:val="24"/>
        </w:rPr>
      </w:pPr>
      <w:r>
        <w:rPr>
          <w:szCs w:val="24"/>
        </w:rPr>
        <w:t>Que e</w:t>
      </w:r>
      <w:r w:rsidRPr="001311B6">
        <w:rPr>
          <w:szCs w:val="24"/>
        </w:rPr>
        <w:t>n la misma línea, Diego Boris ha señalado: “En épocas de uniformidad se encontró un espacio donde lo diferente es un valor. Nunca como en este tiempo los músicos independientes pudieron contraponer tanto arte a la lógica de mercado. Tal vez el fenómeno contracultural no sea solo una estética, sino la apropiación colectiva de esa</w:t>
      </w:r>
      <w:r>
        <w:rPr>
          <w:szCs w:val="24"/>
        </w:rPr>
        <w:t xml:space="preserve"> </w:t>
      </w:r>
      <w:r w:rsidRPr="001311B6">
        <w:rPr>
          <w:szCs w:val="24"/>
        </w:rPr>
        <w:t>estética como bandera de libertad, en el punto donde la libertad artística se pone al servicio de la libertad social”.</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Pr="00E94781" w:rsidRDefault="00CF0AE5" w:rsidP="00CF0AE5">
      <w:pPr>
        <w:pStyle w:val="Normal1"/>
        <w:spacing w:line="360" w:lineRule="auto"/>
        <w:jc w:val="center"/>
        <w:rPr>
          <w:rFonts w:ascii="Times New Roman" w:hAnsi="Times New Roman" w:cs="Times New Roman"/>
          <w:b/>
          <w:sz w:val="24"/>
          <w:szCs w:val="24"/>
          <w:lang w:val="es-ES"/>
        </w:rPr>
      </w:pPr>
      <w:r w:rsidRPr="00E94781">
        <w:rPr>
          <w:rFonts w:ascii="Times New Roman" w:hAnsi="Times New Roman" w:cs="Times New Roman"/>
          <w:b/>
          <w:sz w:val="24"/>
          <w:szCs w:val="24"/>
          <w:lang w:val="es-ES"/>
        </w:rPr>
        <w:t>DECLARACIÓN</w:t>
      </w:r>
    </w:p>
    <w:p w:rsidR="00CF0AE5" w:rsidRDefault="00E94781" w:rsidP="00E5658D">
      <w:pPr>
        <w:rPr>
          <w:szCs w:val="24"/>
        </w:rPr>
      </w:pPr>
      <w:r>
        <w:rPr>
          <w:szCs w:val="24"/>
        </w:rPr>
        <w:t>Se declara</w:t>
      </w:r>
      <w:r w:rsidR="00CF0AE5" w:rsidRPr="00E94781">
        <w:rPr>
          <w:szCs w:val="24"/>
        </w:rPr>
        <w:t xml:space="preserve"> de </w:t>
      </w:r>
      <w:r w:rsidR="001F274B">
        <w:rPr>
          <w:szCs w:val="24"/>
        </w:rPr>
        <w:t>I</w:t>
      </w:r>
      <w:r w:rsidR="00CF0AE5" w:rsidRPr="00E94781">
        <w:rPr>
          <w:szCs w:val="24"/>
        </w:rPr>
        <w:t xml:space="preserve">nterés </w:t>
      </w:r>
      <w:r>
        <w:rPr>
          <w:szCs w:val="24"/>
        </w:rPr>
        <w:t>de la Ciudad Autónoma de Buenos Aires para la Comunicación Social</w:t>
      </w:r>
      <w:r w:rsidR="00903F00">
        <w:rPr>
          <w:szCs w:val="24"/>
        </w:rPr>
        <w:t xml:space="preserve"> y la Cultura</w:t>
      </w:r>
      <w:r w:rsidR="00EC6CE3">
        <w:rPr>
          <w:szCs w:val="24"/>
        </w:rPr>
        <w:t xml:space="preserve"> </w:t>
      </w:r>
      <w:r w:rsidR="00E35A94" w:rsidRPr="00E35A94">
        <w:rPr>
          <w:szCs w:val="24"/>
        </w:rPr>
        <w:t xml:space="preserve">el libro </w:t>
      </w:r>
      <w:r w:rsidR="001311B6" w:rsidRPr="001311B6">
        <w:rPr>
          <w:szCs w:val="24"/>
        </w:rPr>
        <w:t>“Arte, Diseño y Contracultura”</w:t>
      </w:r>
      <w:r w:rsidR="001311B6">
        <w:rPr>
          <w:szCs w:val="24"/>
        </w:rPr>
        <w:t>,</w:t>
      </w:r>
      <w:r w:rsidR="001311B6" w:rsidRPr="001311B6">
        <w:rPr>
          <w:szCs w:val="24"/>
        </w:rPr>
        <w:t xml:space="preserve"> de</w:t>
      </w:r>
      <w:r w:rsidR="001311B6">
        <w:rPr>
          <w:szCs w:val="24"/>
        </w:rPr>
        <w:t xml:space="preserve"> autoría</w:t>
      </w:r>
      <w:r w:rsidR="000231A2">
        <w:rPr>
          <w:szCs w:val="24"/>
        </w:rPr>
        <w:t xml:space="preserve"> de</w:t>
      </w:r>
      <w:r w:rsidR="006D2E02">
        <w:rPr>
          <w:szCs w:val="24"/>
        </w:rPr>
        <w:t xml:space="preserve"> José Ricardo Cohen.</w:t>
      </w: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C453D0">
        <w:rPr>
          <w:szCs w:val="24"/>
          <w:lang w:val="es-ES"/>
        </w:rPr>
        <w:t>11</w:t>
      </w:r>
      <w:r>
        <w:rPr>
          <w:szCs w:val="24"/>
          <w:lang w:val="es-ES"/>
        </w:rPr>
        <w:t xml:space="preserve"> </w:t>
      </w:r>
      <w:r w:rsidR="00CF0AE5" w:rsidRPr="00E94781">
        <w:rPr>
          <w:szCs w:val="24"/>
          <w:lang w:val="es-ES"/>
        </w:rPr>
        <w:t>de</w:t>
      </w:r>
      <w:r>
        <w:rPr>
          <w:szCs w:val="24"/>
          <w:lang w:val="es-ES"/>
        </w:rPr>
        <w:t xml:space="preserve"> </w:t>
      </w:r>
      <w:r w:rsidR="00C453D0">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r w:rsidRPr="00E94781">
        <w:rPr>
          <w:szCs w:val="24"/>
        </w:rPr>
        <w:t xml:space="preserve">Glize,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Ernst,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Imas, Silvia                                                               Loupias,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1714C1">
      <w:pPr>
        <w:jc w:val="left"/>
        <w:rPr>
          <w:szCs w:val="24"/>
        </w:rPr>
      </w:pPr>
      <w:r w:rsidRPr="00E94781">
        <w:rPr>
          <w:szCs w:val="24"/>
        </w:rPr>
        <w:t xml:space="preserve">  Modarelli, Juan Pablo                                                      Siciliano, Sergio</w:t>
      </w: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765" w:rsidRDefault="00DE0765">
      <w:r>
        <w:separator/>
      </w:r>
    </w:p>
  </w:endnote>
  <w:endnote w:type="continuationSeparator" w:id="0">
    <w:p w:rsidR="00DE0765" w:rsidRDefault="00DE0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C453D0" w:rsidRPr="00C453D0">
        <w:rPr>
          <w:noProof/>
          <w:color w:val="333333"/>
          <w:sz w:val="20"/>
        </w:rPr>
        <w:t>03/06/2026 11:44:00</w:t>
      </w:r>
    </w:fldSimple>
    <w:r w:rsidRPr="001C19C4">
      <w:rPr>
        <w:color w:val="333333"/>
        <w:sz w:val="20"/>
      </w:rPr>
      <w:t xml:space="preserve">  -  Cantidad de caracteres: </w:t>
    </w:r>
    <w:fldSimple w:instr=" NUMCHARS  \* MERGEFORMAT ">
      <w:r w:rsidR="00C453D0" w:rsidRPr="00C453D0">
        <w:rPr>
          <w:noProof/>
          <w:color w:val="333333"/>
          <w:sz w:val="20"/>
        </w:rPr>
        <w:t>3038</w:t>
      </w:r>
    </w:fldSimple>
    <w:r w:rsidRPr="001C19C4">
      <w:rPr>
        <w:color w:val="333333"/>
        <w:sz w:val="20"/>
      </w:rPr>
      <w:t xml:space="preserve"> - Cantidad de palabras: </w:t>
    </w:r>
    <w:fldSimple w:instr=" NUMWORDS  \* MERGEFORMAT ">
      <w:r w:rsidR="00C453D0" w:rsidRPr="00C453D0">
        <w:rPr>
          <w:noProof/>
          <w:color w:val="333333"/>
          <w:sz w:val="20"/>
        </w:rPr>
        <w:t>532</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F7F32" w:rsidRPr="001C19C4">
      <w:rPr>
        <w:rStyle w:val="Nmerodepgina"/>
        <w:color w:val="333333"/>
      </w:rPr>
      <w:fldChar w:fldCharType="begin"/>
    </w:r>
    <w:r w:rsidRPr="001C19C4">
      <w:rPr>
        <w:rStyle w:val="Nmerodepgina"/>
        <w:color w:val="333333"/>
      </w:rPr>
      <w:instrText xml:space="preserve"> PAGE </w:instrText>
    </w:r>
    <w:r w:rsidR="003F7F32" w:rsidRPr="001C19C4">
      <w:rPr>
        <w:rStyle w:val="Nmerodepgina"/>
        <w:color w:val="333333"/>
      </w:rPr>
      <w:fldChar w:fldCharType="separate"/>
    </w:r>
    <w:r w:rsidR="00C453D0">
      <w:rPr>
        <w:rStyle w:val="Nmerodepgina"/>
        <w:noProof/>
        <w:color w:val="333333"/>
      </w:rPr>
      <w:t>2</w:t>
    </w:r>
    <w:r w:rsidR="003F7F32" w:rsidRPr="001C19C4">
      <w:rPr>
        <w:rStyle w:val="Nmerodepgina"/>
        <w:color w:val="333333"/>
      </w:rPr>
      <w:fldChar w:fldCharType="end"/>
    </w:r>
    <w:r w:rsidRPr="001C19C4">
      <w:rPr>
        <w:rStyle w:val="Nmerodepgina"/>
        <w:color w:val="333333"/>
      </w:rPr>
      <w:t>/</w:t>
    </w:r>
    <w:fldSimple w:instr=" NUMPAGES  \* MERGEFORMAT ">
      <w:r w:rsidR="00C453D0" w:rsidRPr="00C453D0">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765" w:rsidRDefault="00DE0765">
      <w:r>
        <w:separator/>
      </w:r>
    </w:p>
  </w:footnote>
  <w:footnote w:type="continuationSeparator" w:id="0">
    <w:p w:rsidR="00DE0765" w:rsidRDefault="00DE0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6"/>
  </w:hdrShapeDefaults>
  <w:footnotePr>
    <w:footnote w:id="-1"/>
    <w:footnote w:id="0"/>
  </w:footnotePr>
  <w:endnotePr>
    <w:endnote w:id="-1"/>
    <w:endnote w:id="0"/>
  </w:endnotePr>
  <w:compat/>
  <w:rsids>
    <w:rsidRoot w:val="00103E94"/>
    <w:rsid w:val="000231A2"/>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7D10"/>
    <w:rsid w:val="001311B6"/>
    <w:rsid w:val="00136787"/>
    <w:rsid w:val="00145948"/>
    <w:rsid w:val="0015272B"/>
    <w:rsid w:val="00155C7C"/>
    <w:rsid w:val="00160A2A"/>
    <w:rsid w:val="001614A7"/>
    <w:rsid w:val="0016628A"/>
    <w:rsid w:val="001714C1"/>
    <w:rsid w:val="001912B9"/>
    <w:rsid w:val="0019414B"/>
    <w:rsid w:val="001B770D"/>
    <w:rsid w:val="001C18CC"/>
    <w:rsid w:val="001C19C4"/>
    <w:rsid w:val="001C5C15"/>
    <w:rsid w:val="001D480C"/>
    <w:rsid w:val="001E0E01"/>
    <w:rsid w:val="001E5394"/>
    <w:rsid w:val="001F274B"/>
    <w:rsid w:val="001F2924"/>
    <w:rsid w:val="001F3AFD"/>
    <w:rsid w:val="00205802"/>
    <w:rsid w:val="00205DAD"/>
    <w:rsid w:val="00223436"/>
    <w:rsid w:val="002327DE"/>
    <w:rsid w:val="00236BB7"/>
    <w:rsid w:val="00246DF0"/>
    <w:rsid w:val="00250832"/>
    <w:rsid w:val="0026220D"/>
    <w:rsid w:val="00265972"/>
    <w:rsid w:val="00275865"/>
    <w:rsid w:val="00276A7E"/>
    <w:rsid w:val="00296815"/>
    <w:rsid w:val="002971A4"/>
    <w:rsid w:val="002B47D0"/>
    <w:rsid w:val="002C768C"/>
    <w:rsid w:val="002D05E9"/>
    <w:rsid w:val="002D3F5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08F0"/>
    <w:rsid w:val="003F1EFD"/>
    <w:rsid w:val="003F4249"/>
    <w:rsid w:val="003F7F32"/>
    <w:rsid w:val="00401C75"/>
    <w:rsid w:val="0040761B"/>
    <w:rsid w:val="00422C3F"/>
    <w:rsid w:val="004354AC"/>
    <w:rsid w:val="00446E1A"/>
    <w:rsid w:val="0044756F"/>
    <w:rsid w:val="004714FB"/>
    <w:rsid w:val="004847CA"/>
    <w:rsid w:val="004B7714"/>
    <w:rsid w:val="004C4B76"/>
    <w:rsid w:val="004D2D62"/>
    <w:rsid w:val="004D30D5"/>
    <w:rsid w:val="004D438B"/>
    <w:rsid w:val="004D7B3D"/>
    <w:rsid w:val="004E235F"/>
    <w:rsid w:val="0051012E"/>
    <w:rsid w:val="005142E6"/>
    <w:rsid w:val="00522C71"/>
    <w:rsid w:val="005241CE"/>
    <w:rsid w:val="00534552"/>
    <w:rsid w:val="00540D49"/>
    <w:rsid w:val="00540E5C"/>
    <w:rsid w:val="00545195"/>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75297"/>
    <w:rsid w:val="006811D6"/>
    <w:rsid w:val="006850CC"/>
    <w:rsid w:val="00690392"/>
    <w:rsid w:val="00696A4F"/>
    <w:rsid w:val="00697F98"/>
    <w:rsid w:val="006C043A"/>
    <w:rsid w:val="006C326A"/>
    <w:rsid w:val="006C40E9"/>
    <w:rsid w:val="006D2E02"/>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046C6"/>
    <w:rsid w:val="008108EF"/>
    <w:rsid w:val="0081158B"/>
    <w:rsid w:val="00812683"/>
    <w:rsid w:val="00820A3A"/>
    <w:rsid w:val="008252D5"/>
    <w:rsid w:val="00827228"/>
    <w:rsid w:val="008433E2"/>
    <w:rsid w:val="00846702"/>
    <w:rsid w:val="008553EB"/>
    <w:rsid w:val="0086333F"/>
    <w:rsid w:val="00870A2D"/>
    <w:rsid w:val="00875D8A"/>
    <w:rsid w:val="008844BF"/>
    <w:rsid w:val="0088546A"/>
    <w:rsid w:val="00890C59"/>
    <w:rsid w:val="00890E2F"/>
    <w:rsid w:val="008938E5"/>
    <w:rsid w:val="008B4536"/>
    <w:rsid w:val="008C4AC3"/>
    <w:rsid w:val="008D12C8"/>
    <w:rsid w:val="00903F00"/>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643E8"/>
    <w:rsid w:val="00B85EE2"/>
    <w:rsid w:val="00B90C6D"/>
    <w:rsid w:val="00BF1CA9"/>
    <w:rsid w:val="00BF2B7B"/>
    <w:rsid w:val="00BF71C2"/>
    <w:rsid w:val="00C26F53"/>
    <w:rsid w:val="00C330CB"/>
    <w:rsid w:val="00C3675D"/>
    <w:rsid w:val="00C419C1"/>
    <w:rsid w:val="00C453D0"/>
    <w:rsid w:val="00C513EF"/>
    <w:rsid w:val="00C51E49"/>
    <w:rsid w:val="00C521F9"/>
    <w:rsid w:val="00C63351"/>
    <w:rsid w:val="00C71253"/>
    <w:rsid w:val="00C734F9"/>
    <w:rsid w:val="00C87365"/>
    <w:rsid w:val="00C93FF6"/>
    <w:rsid w:val="00CC20B0"/>
    <w:rsid w:val="00CE163F"/>
    <w:rsid w:val="00CF0AE5"/>
    <w:rsid w:val="00D00A56"/>
    <w:rsid w:val="00D21279"/>
    <w:rsid w:val="00D43AA2"/>
    <w:rsid w:val="00D518DB"/>
    <w:rsid w:val="00D55ECB"/>
    <w:rsid w:val="00D67721"/>
    <w:rsid w:val="00D7153D"/>
    <w:rsid w:val="00D758CE"/>
    <w:rsid w:val="00D76A86"/>
    <w:rsid w:val="00D927D4"/>
    <w:rsid w:val="00DA0B47"/>
    <w:rsid w:val="00DD2795"/>
    <w:rsid w:val="00DD4DE2"/>
    <w:rsid w:val="00DD520D"/>
    <w:rsid w:val="00DE0765"/>
    <w:rsid w:val="00DF0164"/>
    <w:rsid w:val="00DF14A9"/>
    <w:rsid w:val="00DF54AA"/>
    <w:rsid w:val="00E027B5"/>
    <w:rsid w:val="00E07D33"/>
    <w:rsid w:val="00E12909"/>
    <w:rsid w:val="00E12DDE"/>
    <w:rsid w:val="00E143B6"/>
    <w:rsid w:val="00E30CFF"/>
    <w:rsid w:val="00E35A94"/>
    <w:rsid w:val="00E55186"/>
    <w:rsid w:val="00E5658D"/>
    <w:rsid w:val="00E615F1"/>
    <w:rsid w:val="00E63146"/>
    <w:rsid w:val="00E64A1D"/>
    <w:rsid w:val="00E74920"/>
    <w:rsid w:val="00E81EE5"/>
    <w:rsid w:val="00E91F21"/>
    <w:rsid w:val="00E94781"/>
    <w:rsid w:val="00EA35F8"/>
    <w:rsid w:val="00EA4BAC"/>
    <w:rsid w:val="00EB6956"/>
    <w:rsid w:val="00EC6CE3"/>
    <w:rsid w:val="00EE6672"/>
    <w:rsid w:val="00EF0D22"/>
    <w:rsid w:val="00EF2B93"/>
    <w:rsid w:val="00F13C69"/>
    <w:rsid w:val="00F41DF6"/>
    <w:rsid w:val="00F52245"/>
    <w:rsid w:val="00F5569F"/>
    <w:rsid w:val="00F60308"/>
    <w:rsid w:val="00F640D0"/>
    <w:rsid w:val="00F75389"/>
    <w:rsid w:val="00F903E8"/>
    <w:rsid w:val="00FA0C8C"/>
    <w:rsid w:val="00FB4F49"/>
    <w:rsid w:val="00FD07F5"/>
    <w:rsid w:val="00FE3C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042DF-BE7B-497D-93F2-9DBCF1E5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14</TotalTime>
  <Pages>2</Pages>
  <Words>532</Words>
  <Characters>3038</Characters>
  <Application>Microsoft Office Word</Application>
  <DocSecurity>0</DocSecurity>
  <Lines>86</Lines>
  <Paragraphs>22</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10</cp:revision>
  <cp:lastPrinted>2020-02-28T17:24:00Z</cp:lastPrinted>
  <dcterms:created xsi:type="dcterms:W3CDTF">2026-05-11T18:43:00Z</dcterms:created>
  <dcterms:modified xsi:type="dcterms:W3CDTF">2026-06-04T16:40:00Z</dcterms:modified>
</cp:coreProperties>
</file>