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E35A94">
        <w:rPr>
          <w:szCs w:val="24"/>
          <w:lang w:val="es-ES"/>
        </w:rPr>
        <w:t>5</w:t>
      </w:r>
      <w:r w:rsidR="00C513EF">
        <w:rPr>
          <w:szCs w:val="24"/>
          <w:lang w:val="es-ES"/>
        </w:rPr>
        <w:t>31</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CF0AE5" w:rsidRPr="00E94781" w:rsidRDefault="00CF0AE5" w:rsidP="00C513EF">
      <w:pPr>
        <w:rPr>
          <w:szCs w:val="24"/>
        </w:rPr>
      </w:pPr>
      <w:r w:rsidRPr="00E94781">
        <w:rPr>
          <w:szCs w:val="24"/>
        </w:rPr>
        <w:t xml:space="preserve">El expediente </w:t>
      </w:r>
      <w:r w:rsidR="00E35A94">
        <w:rPr>
          <w:szCs w:val="24"/>
        </w:rPr>
        <w:t>5</w:t>
      </w:r>
      <w:r w:rsidR="00C513EF">
        <w:rPr>
          <w:szCs w:val="24"/>
        </w:rPr>
        <w:t>31</w:t>
      </w:r>
      <w:r w:rsidRPr="00E94781">
        <w:rPr>
          <w:szCs w:val="24"/>
        </w:rPr>
        <w:t>-</w:t>
      </w:r>
      <w:r w:rsidR="006576F3">
        <w:rPr>
          <w:szCs w:val="24"/>
        </w:rPr>
        <w:t>D</w:t>
      </w:r>
      <w:r w:rsidRPr="00E94781">
        <w:rPr>
          <w:szCs w:val="24"/>
        </w:rPr>
        <w:t>-2026</w:t>
      </w:r>
      <w:r w:rsidR="00E94781">
        <w:rPr>
          <w:szCs w:val="24"/>
        </w:rPr>
        <w:t>, de autoría de</w:t>
      </w:r>
      <w:r w:rsidR="00C513EF">
        <w:rPr>
          <w:szCs w:val="24"/>
        </w:rPr>
        <w:t xml:space="preserve">l </w:t>
      </w:r>
      <w:r w:rsidR="0081158B">
        <w:rPr>
          <w:szCs w:val="24"/>
        </w:rPr>
        <w:t>diputad</w:t>
      </w:r>
      <w:r w:rsidR="00C513EF">
        <w:rPr>
          <w:szCs w:val="24"/>
        </w:rPr>
        <w:t xml:space="preserve">o La </w:t>
      </w:r>
      <w:proofErr w:type="spellStart"/>
      <w:r w:rsidR="00C513EF">
        <w:rPr>
          <w:szCs w:val="24"/>
        </w:rPr>
        <w:t>Blunda</w:t>
      </w:r>
      <w:proofErr w:type="spellEnd"/>
      <w:r w:rsidR="00C513EF">
        <w:rPr>
          <w:szCs w:val="24"/>
        </w:rPr>
        <w:t>, Andrés,</w:t>
      </w:r>
      <w:r w:rsidR="00E35A94">
        <w:rPr>
          <w:szCs w:val="24"/>
        </w:rPr>
        <w:t xml:space="preserve"> referido a declarar </w:t>
      </w:r>
      <w:r w:rsidR="00E35A94" w:rsidRPr="00E35A94">
        <w:rPr>
          <w:szCs w:val="24"/>
        </w:rPr>
        <w:t xml:space="preserve">de interés </w:t>
      </w:r>
      <w:r w:rsidR="00C513EF" w:rsidRPr="00C513EF">
        <w:rPr>
          <w:szCs w:val="24"/>
        </w:rPr>
        <w:t>de la Ciudad Autónoma de Buenos Aires para la Comunicación Social el libro "</w:t>
      </w:r>
      <w:proofErr w:type="spellStart"/>
      <w:r w:rsidR="00C513EF" w:rsidRPr="00C513EF">
        <w:rPr>
          <w:szCs w:val="24"/>
        </w:rPr>
        <w:t>Tianxia</w:t>
      </w:r>
      <w:proofErr w:type="spellEnd"/>
      <w:r w:rsidR="00C513EF" w:rsidRPr="00C513EF">
        <w:rPr>
          <w:szCs w:val="24"/>
        </w:rPr>
        <w:t xml:space="preserve">. Todo lo que hay bajo el cielo. Globalización con características chinas" del autor Juan Facundo </w:t>
      </w:r>
      <w:proofErr w:type="spellStart"/>
      <w:r w:rsidR="00C513EF" w:rsidRPr="00C513EF">
        <w:rPr>
          <w:szCs w:val="24"/>
        </w:rPr>
        <w:t>Muciaccia</w:t>
      </w:r>
      <w:proofErr w:type="spellEnd"/>
      <w:r w:rsidR="00C513EF" w:rsidRPr="00C513EF">
        <w:rPr>
          <w:szCs w:val="24"/>
        </w:rPr>
        <w:t>.</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1714C1" w:rsidRDefault="001714C1" w:rsidP="001714C1">
      <w:pPr>
        <w:rPr>
          <w:szCs w:val="24"/>
        </w:rPr>
      </w:pPr>
      <w:r>
        <w:rPr>
          <w:szCs w:val="24"/>
        </w:rPr>
        <w:t>Que c</w:t>
      </w:r>
      <w:r w:rsidRPr="001714C1">
        <w:rPr>
          <w:szCs w:val="24"/>
        </w:rPr>
        <w:t>on una pluma de fácil lectura y pedagógica</w:t>
      </w:r>
      <w:r>
        <w:rPr>
          <w:szCs w:val="24"/>
        </w:rPr>
        <w:t xml:space="preserve">, </w:t>
      </w:r>
      <w:r w:rsidRPr="001714C1">
        <w:rPr>
          <w:szCs w:val="24"/>
        </w:rPr>
        <w:t xml:space="preserve">Juan Facundo </w:t>
      </w:r>
      <w:proofErr w:type="spellStart"/>
      <w:r w:rsidRPr="001714C1">
        <w:rPr>
          <w:szCs w:val="24"/>
        </w:rPr>
        <w:t>Muciaccia</w:t>
      </w:r>
      <w:proofErr w:type="spellEnd"/>
      <w:r w:rsidRPr="001714C1">
        <w:rPr>
          <w:szCs w:val="24"/>
        </w:rPr>
        <w:t xml:space="preserve"> describe y explica los cambios que, a nivel internacional, ya estamos observando con el ascenso sostenido de la República Popular China, como potencia emergente.</w:t>
      </w:r>
      <w:r>
        <w:rPr>
          <w:szCs w:val="24"/>
        </w:rPr>
        <w:t xml:space="preserve"> </w:t>
      </w:r>
    </w:p>
    <w:p w:rsidR="001714C1" w:rsidRDefault="001714C1" w:rsidP="001714C1">
      <w:pPr>
        <w:rPr>
          <w:szCs w:val="24"/>
        </w:rPr>
      </w:pPr>
    </w:p>
    <w:p w:rsidR="001714C1" w:rsidRDefault="001714C1" w:rsidP="001714C1">
      <w:pPr>
        <w:rPr>
          <w:szCs w:val="24"/>
        </w:rPr>
      </w:pPr>
      <w:r>
        <w:rPr>
          <w:szCs w:val="24"/>
        </w:rPr>
        <w:t xml:space="preserve">Que el autor </w:t>
      </w:r>
      <w:r w:rsidRPr="001714C1">
        <w:rPr>
          <w:szCs w:val="24"/>
        </w:rPr>
        <w:t>es Magister en Historia Económica y de Políticas Económicas por la Universidad de Buenos Aires (UBA), Licenciado en Ciencia Política orientado en administración pública, política latinoamericana y procesos de integración</w:t>
      </w:r>
    </w:p>
    <w:p w:rsidR="001714C1" w:rsidRPr="001714C1" w:rsidRDefault="001714C1" w:rsidP="001714C1">
      <w:pPr>
        <w:rPr>
          <w:szCs w:val="24"/>
        </w:rPr>
      </w:pPr>
    </w:p>
    <w:p w:rsidR="001714C1" w:rsidRDefault="001714C1" w:rsidP="001714C1">
      <w:pPr>
        <w:rPr>
          <w:szCs w:val="24"/>
        </w:rPr>
      </w:pPr>
      <w:r>
        <w:rPr>
          <w:szCs w:val="24"/>
        </w:rPr>
        <w:t>Que e</w:t>
      </w:r>
      <w:r w:rsidRPr="001714C1">
        <w:rPr>
          <w:szCs w:val="24"/>
        </w:rPr>
        <w:t>n su libro "</w:t>
      </w:r>
      <w:proofErr w:type="spellStart"/>
      <w:r w:rsidRPr="001714C1">
        <w:rPr>
          <w:szCs w:val="24"/>
        </w:rPr>
        <w:t>Tianxia</w:t>
      </w:r>
      <w:proofErr w:type="spellEnd"/>
      <w:r w:rsidRPr="001714C1">
        <w:rPr>
          <w:szCs w:val="24"/>
        </w:rPr>
        <w:t xml:space="preserve">. Todo lo que hay bajo el cielo. Globalización con características chinas", </w:t>
      </w:r>
      <w:proofErr w:type="spellStart"/>
      <w:r w:rsidRPr="001714C1">
        <w:rPr>
          <w:szCs w:val="24"/>
        </w:rPr>
        <w:t>Muciaccia</w:t>
      </w:r>
      <w:proofErr w:type="spellEnd"/>
      <w:r w:rsidRPr="001714C1">
        <w:rPr>
          <w:szCs w:val="24"/>
        </w:rPr>
        <w:t xml:space="preserve"> ofrece una perspectiva crítica y descolonizadora sobre el papel de China en la globalización contemporánea, especialmente en su vínculo con América Latina.</w:t>
      </w:r>
    </w:p>
    <w:p w:rsidR="001714C1" w:rsidRPr="001714C1" w:rsidRDefault="001714C1" w:rsidP="001714C1">
      <w:pPr>
        <w:rPr>
          <w:szCs w:val="24"/>
        </w:rPr>
      </w:pPr>
    </w:p>
    <w:p w:rsidR="001714C1" w:rsidRDefault="001714C1" w:rsidP="001714C1">
      <w:pPr>
        <w:rPr>
          <w:szCs w:val="24"/>
        </w:rPr>
      </w:pPr>
      <w:r>
        <w:rPr>
          <w:szCs w:val="24"/>
        </w:rPr>
        <w:t>Que s</w:t>
      </w:r>
      <w:r w:rsidRPr="001714C1">
        <w:rPr>
          <w:szCs w:val="24"/>
        </w:rPr>
        <w:t>u obra desmonta estereotipos y abre perspectivas novedosas para comprender un proceso global desde una lógica situada en el Sur Global, que por lo general no se encuentra en la literatura tradicional occidental. La noción central del libro, basada en el concepto chino "</w:t>
      </w:r>
      <w:proofErr w:type="spellStart"/>
      <w:r w:rsidRPr="001714C1">
        <w:rPr>
          <w:szCs w:val="24"/>
        </w:rPr>
        <w:t>Tianxia</w:t>
      </w:r>
      <w:proofErr w:type="spellEnd"/>
      <w:r w:rsidRPr="001714C1">
        <w:rPr>
          <w:szCs w:val="24"/>
        </w:rPr>
        <w:t>" que significa "todo lo que hay bajo el cielo", invita a pensar las relaciones internacionales y las interdependencias civilizatorias como una complementariedad cultural y económica plural, promoviendo entendimientos profundos en tiempos de transformación acelerada.</w:t>
      </w:r>
    </w:p>
    <w:p w:rsidR="001714C1" w:rsidRPr="001714C1" w:rsidRDefault="001714C1" w:rsidP="001714C1">
      <w:pPr>
        <w:rPr>
          <w:szCs w:val="24"/>
        </w:rPr>
      </w:pPr>
    </w:p>
    <w:p w:rsidR="00CF0AE5" w:rsidRDefault="001714C1" w:rsidP="001714C1">
      <w:pPr>
        <w:rPr>
          <w:szCs w:val="24"/>
        </w:rPr>
      </w:pPr>
      <w:r>
        <w:rPr>
          <w:szCs w:val="24"/>
        </w:rPr>
        <w:t>Que e</w:t>
      </w:r>
      <w:r w:rsidRPr="001714C1">
        <w:rPr>
          <w:szCs w:val="24"/>
        </w:rPr>
        <w:t>l libro presenta el ascenso estratégico de China con un enfoque integral: político, económico, histórico y filosófico, enfatizando que China posee un proyecto de Estado con un plan claro y de largo plazo, que difiere de las estructuras occidentales. Analiza cómo China no solo establece vínculos comerciales sino una red de relaciones institucionales, culturales y estratégicas, que impactan de manera definitiva la dinámica regional en América Latina.</w:t>
      </w:r>
      <w:r>
        <w:rPr>
          <w:szCs w:val="24"/>
        </w:rPr>
        <w:t xml:space="preserve"> </w:t>
      </w:r>
      <w:r w:rsidRPr="001714C1">
        <w:rPr>
          <w:szCs w:val="24"/>
        </w:rPr>
        <w:t xml:space="preserve">En este sentido, el texto ofrece un marco para analizar e interpretar la globalización con una base conceptual sólida, que toma en cuenta las transformaciones culturales y de poder en el mundo actual. Además, fomenta un diálogo </w:t>
      </w:r>
      <w:proofErr w:type="spellStart"/>
      <w:r w:rsidRPr="001714C1">
        <w:rPr>
          <w:szCs w:val="24"/>
        </w:rPr>
        <w:t>intercivilizatorio</w:t>
      </w:r>
      <w:proofErr w:type="spellEnd"/>
      <w:r w:rsidRPr="001714C1">
        <w:rPr>
          <w:szCs w:val="24"/>
        </w:rPr>
        <w:t xml:space="preserve"> necesario para la comunicación social en contextos </w:t>
      </w:r>
      <w:proofErr w:type="spellStart"/>
      <w:r w:rsidRPr="001714C1">
        <w:rPr>
          <w:szCs w:val="24"/>
        </w:rPr>
        <w:t>pluriculturales</w:t>
      </w:r>
      <w:proofErr w:type="spellEnd"/>
      <w:r w:rsidRPr="001714C1">
        <w:rPr>
          <w:szCs w:val="24"/>
        </w:rPr>
        <w:t xml:space="preserve"> como la Ciudad Autónoma de Buenos Aires.</w:t>
      </w:r>
    </w:p>
    <w:p w:rsidR="001714C1" w:rsidRDefault="001714C1" w:rsidP="001714C1">
      <w:pPr>
        <w:rPr>
          <w:szCs w:val="24"/>
        </w:rPr>
      </w:pPr>
    </w:p>
    <w:p w:rsidR="001714C1" w:rsidRDefault="001714C1" w:rsidP="001714C1">
      <w:pPr>
        <w:rPr>
          <w:szCs w:val="24"/>
        </w:rPr>
      </w:pPr>
      <w:r>
        <w:rPr>
          <w:szCs w:val="24"/>
        </w:rPr>
        <w:t xml:space="preserve">Que </w:t>
      </w:r>
      <w:r w:rsidRPr="001714C1">
        <w:rPr>
          <w:szCs w:val="24"/>
        </w:rPr>
        <w:t>el libro aporta una herramienta esencial para promover la reflexión crítica en un contexto globalizado con una mirada situada en la pluralidad y el intercambio cultural. Su aporte se expresa en cómo desmitifica visiones rígidas, facilitando que medios, educadores y comunicadores incorporen nociones de complementariedad global y local, consideradas estratégicas para comprender la realidad política y económica que incide en la región, contribuyendo a fortalecer la agenda cultural, ampliando la base de conocimiento sobre uno de los actores centrales en las relaciones globales.</w:t>
      </w:r>
    </w:p>
    <w:p w:rsidR="001714C1" w:rsidRPr="001714C1" w:rsidRDefault="001714C1" w:rsidP="001714C1">
      <w:pPr>
        <w:rPr>
          <w:szCs w:val="24"/>
        </w:rPr>
      </w:pPr>
    </w:p>
    <w:p w:rsidR="001714C1" w:rsidRDefault="001714C1" w:rsidP="001714C1">
      <w:pPr>
        <w:rPr>
          <w:szCs w:val="24"/>
        </w:rPr>
      </w:pPr>
      <w:r>
        <w:rPr>
          <w:szCs w:val="24"/>
        </w:rPr>
        <w:t>Que e</w:t>
      </w:r>
      <w:r w:rsidRPr="001714C1">
        <w:rPr>
          <w:szCs w:val="24"/>
        </w:rPr>
        <w:t xml:space="preserve">l valor diferencial que ofrece esta obra frente a otros libros sobre globalización y relaciones internacionales con China se encuentra en su enfoque interdisciplinario que combina teoría política, historia, filosofía y economía, siempre desde una perspectiva </w:t>
      </w:r>
      <w:r w:rsidRPr="001714C1">
        <w:rPr>
          <w:szCs w:val="24"/>
        </w:rPr>
        <w:lastRenderedPageBreak/>
        <w:t>latinoamericanista y descolonizadora. No se limita a una mera descripción de hechos, sino que invita a un análisis riguroso y una comprensión estratégica que considera el poder blando, la cultura y la filosofía china, aspectos usualmente relegados en otros textos. Esto la convierte en un aporte único para la comunicación social de la Ciudad, que puede potenciar la construcción de narrativas informadas, responsables y con sentido crítico sobre las nuevas dinámicas globales.</w:t>
      </w:r>
    </w:p>
    <w:p w:rsidR="001714C1" w:rsidRPr="001714C1" w:rsidRDefault="001714C1" w:rsidP="001714C1">
      <w:pPr>
        <w:rPr>
          <w:szCs w:val="24"/>
        </w:rPr>
      </w:pPr>
    </w:p>
    <w:p w:rsidR="001714C1" w:rsidRDefault="001714C1" w:rsidP="001714C1">
      <w:pPr>
        <w:rPr>
          <w:szCs w:val="24"/>
        </w:rPr>
      </w:pPr>
      <w:r>
        <w:rPr>
          <w:szCs w:val="24"/>
        </w:rPr>
        <w:t>Que</w:t>
      </w:r>
      <w:r w:rsidRPr="001714C1">
        <w:rPr>
          <w:szCs w:val="24"/>
        </w:rPr>
        <w:t xml:space="preserve"> "</w:t>
      </w:r>
      <w:proofErr w:type="spellStart"/>
      <w:r w:rsidRPr="001714C1">
        <w:rPr>
          <w:szCs w:val="24"/>
        </w:rPr>
        <w:t>Tianxia</w:t>
      </w:r>
      <w:proofErr w:type="spellEnd"/>
      <w:r w:rsidRPr="001714C1">
        <w:rPr>
          <w:szCs w:val="24"/>
        </w:rPr>
        <w:t xml:space="preserve">" es una obra fundamental para la comunicación social de CABA tanto por su rigor académico como por su aporte práctico para interpretar el escenario global desde una mirada que democratiza el acceso al conocimiento sobre China y su influencia regional. Es especialmente relevante para actores sociales, culturales, académicos y comunicadores que buscan una comprensión profunda y descolonizadora para nutrir el debate público y la educación en la ciudad y la región, apoyando así procesos de integración y diálogo </w:t>
      </w:r>
      <w:proofErr w:type="spellStart"/>
      <w:r w:rsidRPr="001714C1">
        <w:rPr>
          <w:szCs w:val="24"/>
        </w:rPr>
        <w:t>intercivilizatorio</w:t>
      </w:r>
      <w:proofErr w:type="spellEnd"/>
      <w:r w:rsidRPr="001714C1">
        <w:rPr>
          <w:szCs w:val="24"/>
        </w:rPr>
        <w:t xml:space="preserve"> con proyección a futuro.</w:t>
      </w:r>
    </w:p>
    <w:p w:rsidR="001714C1" w:rsidRPr="001714C1" w:rsidRDefault="001714C1" w:rsidP="001714C1">
      <w:pPr>
        <w:rPr>
          <w:szCs w:val="24"/>
        </w:rPr>
      </w:pPr>
    </w:p>
    <w:p w:rsidR="001714C1" w:rsidRPr="00E94781" w:rsidRDefault="001714C1" w:rsidP="001714C1">
      <w:pPr>
        <w:rPr>
          <w:szCs w:val="24"/>
        </w:rPr>
      </w:pPr>
      <w:r>
        <w:rPr>
          <w:szCs w:val="24"/>
        </w:rPr>
        <w:t>Que</w:t>
      </w:r>
      <w:r w:rsidRPr="001714C1">
        <w:rPr>
          <w:szCs w:val="24"/>
        </w:rPr>
        <w:t xml:space="preserve"> su obra fue presentada en la Biblioteca Nacional, ante la comunidad educativa, como por ejemplo Instituto de Formación Técnica Superior Nº 12, como también en diferentes centros culturales en los cuales fue muy bien </w:t>
      </w:r>
      <w:proofErr w:type="spellStart"/>
      <w:r w:rsidRPr="001714C1">
        <w:rPr>
          <w:szCs w:val="24"/>
        </w:rPr>
        <w:t>recepcionada</w:t>
      </w:r>
      <w:proofErr w:type="spellEnd"/>
      <w:r w:rsidRPr="001714C1">
        <w:rPr>
          <w:szCs w:val="24"/>
        </w:rPr>
        <w:t>.</w:t>
      </w:r>
    </w:p>
    <w:p w:rsidR="00CF0AE5" w:rsidRPr="00E94781" w:rsidRDefault="00CF0AE5" w:rsidP="00E5658D">
      <w:pPr>
        <w:rPr>
          <w:szCs w:val="24"/>
        </w:rPr>
      </w:pPr>
    </w:p>
    <w:p w:rsidR="00CF0AE5" w:rsidRPr="00E94781" w:rsidRDefault="00CF0AE5" w:rsidP="00CF0AE5">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F0AE5">
      <w:pPr>
        <w:pStyle w:val="Normal1"/>
        <w:spacing w:line="360" w:lineRule="auto"/>
        <w:jc w:val="center"/>
        <w:rPr>
          <w:rFonts w:ascii="Times New Roman" w:hAnsi="Times New Roman" w:cs="Times New Roman"/>
          <w:b/>
          <w:sz w:val="24"/>
          <w:szCs w:val="24"/>
          <w:lang w:val="es-ES"/>
        </w:rPr>
      </w:pPr>
    </w:p>
    <w:p w:rsidR="00CF0AE5" w:rsidRPr="00E94781" w:rsidRDefault="00CF0AE5" w:rsidP="00CF0AE5">
      <w:pPr>
        <w:pStyle w:val="Normal1"/>
        <w:spacing w:line="360" w:lineRule="auto"/>
        <w:jc w:val="center"/>
        <w:rPr>
          <w:rFonts w:ascii="Times New Roman" w:hAnsi="Times New Roman" w:cs="Times New Roman"/>
          <w:b/>
          <w:sz w:val="24"/>
          <w:szCs w:val="24"/>
          <w:lang w:val="es-ES"/>
        </w:rPr>
      </w:pPr>
      <w:r w:rsidRPr="00E94781">
        <w:rPr>
          <w:rFonts w:ascii="Times New Roman" w:hAnsi="Times New Roman" w:cs="Times New Roman"/>
          <w:b/>
          <w:sz w:val="24"/>
          <w:szCs w:val="24"/>
          <w:lang w:val="es-ES"/>
        </w:rPr>
        <w:t>DECLARACIÓN</w:t>
      </w:r>
    </w:p>
    <w:p w:rsidR="00CF0AE5" w:rsidRDefault="00E94781" w:rsidP="00E5658D">
      <w:pPr>
        <w:rPr>
          <w:szCs w:val="24"/>
        </w:rPr>
      </w:pPr>
      <w:r>
        <w:rPr>
          <w:szCs w:val="24"/>
        </w:rPr>
        <w:t>Se declara</w:t>
      </w:r>
      <w:r w:rsidR="00CF0AE5" w:rsidRPr="00E94781">
        <w:rPr>
          <w:szCs w:val="24"/>
        </w:rPr>
        <w:t xml:space="preserve"> de </w:t>
      </w:r>
      <w:r w:rsidR="001F274B">
        <w:rPr>
          <w:szCs w:val="24"/>
        </w:rPr>
        <w:t>I</w:t>
      </w:r>
      <w:r w:rsidR="00CF0AE5" w:rsidRPr="00E94781">
        <w:rPr>
          <w:szCs w:val="24"/>
        </w:rPr>
        <w:t xml:space="preserve">nterés </w:t>
      </w:r>
      <w:r>
        <w:rPr>
          <w:szCs w:val="24"/>
        </w:rPr>
        <w:t>de la Ciudad Autónoma de Buenos Aires para la Comunicación Social</w:t>
      </w:r>
      <w:r w:rsidR="00EC6CE3">
        <w:rPr>
          <w:szCs w:val="24"/>
        </w:rPr>
        <w:t xml:space="preserve"> </w:t>
      </w:r>
      <w:r w:rsidR="00E35A94" w:rsidRPr="00E35A94">
        <w:rPr>
          <w:szCs w:val="24"/>
        </w:rPr>
        <w:t xml:space="preserve">el libro </w:t>
      </w:r>
      <w:r w:rsidR="00802520" w:rsidRPr="00802520">
        <w:rPr>
          <w:szCs w:val="24"/>
        </w:rPr>
        <w:t>"</w:t>
      </w:r>
      <w:proofErr w:type="spellStart"/>
      <w:r w:rsidR="00802520" w:rsidRPr="00802520">
        <w:rPr>
          <w:szCs w:val="24"/>
        </w:rPr>
        <w:t>Tianxia</w:t>
      </w:r>
      <w:proofErr w:type="spellEnd"/>
      <w:r w:rsidR="00802520" w:rsidRPr="00802520">
        <w:rPr>
          <w:szCs w:val="24"/>
        </w:rPr>
        <w:t>. Todo lo que hay bajo el cielo. Globalización</w:t>
      </w:r>
      <w:r w:rsidR="00802520">
        <w:rPr>
          <w:szCs w:val="24"/>
        </w:rPr>
        <w:t xml:space="preserve"> con características chinas", de autoría de</w:t>
      </w:r>
      <w:r w:rsidR="00802520" w:rsidRPr="00802520">
        <w:rPr>
          <w:szCs w:val="24"/>
        </w:rPr>
        <w:t xml:space="preserve"> Juan Facundo </w:t>
      </w:r>
      <w:proofErr w:type="spellStart"/>
      <w:r w:rsidR="00802520" w:rsidRPr="00802520">
        <w:rPr>
          <w:szCs w:val="24"/>
        </w:rPr>
        <w:t>Muciaccia</w:t>
      </w:r>
      <w:proofErr w:type="spellEnd"/>
      <w:r w:rsidR="00802520" w:rsidRPr="00802520">
        <w:rPr>
          <w:szCs w:val="24"/>
        </w:rPr>
        <w:t>.</w:t>
      </w:r>
    </w:p>
    <w:p w:rsidR="00E94781" w:rsidRDefault="00E94781" w:rsidP="00E5658D">
      <w:pPr>
        <w:rPr>
          <w:szCs w:val="24"/>
        </w:rPr>
      </w:pPr>
    </w:p>
    <w:p w:rsidR="00E94781" w:rsidRPr="00E94781" w:rsidRDefault="00E94781" w:rsidP="00E5658D">
      <w:pPr>
        <w:rPr>
          <w:szCs w:val="24"/>
        </w:rPr>
      </w:pPr>
    </w:p>
    <w:p w:rsidR="00CF0AE5" w:rsidRDefault="00E94781" w:rsidP="00CF0AE5">
      <w:pPr>
        <w:spacing w:line="360" w:lineRule="auto"/>
        <w:rPr>
          <w:szCs w:val="24"/>
          <w:lang w:val="es-ES"/>
        </w:rPr>
      </w:pPr>
      <w:r>
        <w:rPr>
          <w:szCs w:val="24"/>
          <w:lang w:val="es-ES"/>
        </w:rPr>
        <w:t xml:space="preserve">Sala de la Comisión, </w:t>
      </w:r>
      <w:r w:rsidR="008707AD">
        <w:rPr>
          <w:szCs w:val="24"/>
          <w:lang w:val="es-ES"/>
        </w:rPr>
        <w:t>11</w:t>
      </w:r>
      <w:r>
        <w:rPr>
          <w:szCs w:val="24"/>
          <w:lang w:val="es-ES"/>
        </w:rPr>
        <w:t xml:space="preserve"> </w:t>
      </w:r>
      <w:r w:rsidR="00CF0AE5" w:rsidRPr="00E94781">
        <w:rPr>
          <w:szCs w:val="24"/>
          <w:lang w:val="es-ES"/>
        </w:rPr>
        <w:t>de</w:t>
      </w:r>
      <w:r>
        <w:rPr>
          <w:szCs w:val="24"/>
          <w:lang w:val="es-ES"/>
        </w:rPr>
        <w:t xml:space="preserve"> </w:t>
      </w:r>
      <w:r w:rsidR="008707AD">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r w:rsidRPr="00E94781">
        <w:rPr>
          <w:szCs w:val="24"/>
        </w:rPr>
        <w:t xml:space="preserve">Glize,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Ernst,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Imas, Silvia                                                               Loupias,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1714C1">
      <w:pPr>
        <w:jc w:val="left"/>
        <w:rPr>
          <w:szCs w:val="24"/>
        </w:rPr>
      </w:pPr>
      <w:r w:rsidRPr="00E94781">
        <w:rPr>
          <w:szCs w:val="24"/>
        </w:rPr>
        <w:t xml:space="preserve">  Modarelli, Juan Pablo                                                      Siciliano, Sergio</w:t>
      </w:r>
    </w:p>
    <w:sectPr w:rsidR="00CF0AE5" w:rsidRPr="00E94781" w:rsidSect="005E3C49">
      <w:headerReference w:type="even" r:id="rId7"/>
      <w:headerReference w:type="default" r:id="rId8"/>
      <w:footerReference w:type="even" r:id="rId9"/>
      <w:footerReference w:type="default" r:id="rId10"/>
      <w:headerReference w:type="first" r:id="rId11"/>
      <w:footerReference w:type="first" r:id="rId12"/>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BDA" w:rsidRDefault="00086BDA">
      <w:r>
        <w:separator/>
      </w:r>
    </w:p>
  </w:endnote>
  <w:endnote w:type="continuationSeparator" w:id="0">
    <w:p w:rsidR="00086BDA" w:rsidRDefault="00086B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D13" w:rsidRDefault="00635D1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CB0EC7" w:rsidRPr="00CB0EC7">
        <w:rPr>
          <w:noProof/>
          <w:color w:val="333333"/>
          <w:sz w:val="20"/>
        </w:rPr>
        <w:t>04/06/2026 13:37:00</w:t>
      </w:r>
    </w:fldSimple>
    <w:r w:rsidRPr="001C19C4">
      <w:rPr>
        <w:color w:val="333333"/>
        <w:sz w:val="20"/>
      </w:rPr>
      <w:t xml:space="preserve">  -  Cantidad de caracteres: </w:t>
    </w:r>
    <w:fldSimple w:instr=" NUMCHARS  \* MERGEFORMAT ">
      <w:r w:rsidR="00CB0EC7" w:rsidRPr="00CB0EC7">
        <w:rPr>
          <w:noProof/>
          <w:color w:val="333333"/>
          <w:sz w:val="20"/>
        </w:rPr>
        <w:t>4433</w:t>
      </w:r>
    </w:fldSimple>
    <w:r w:rsidRPr="001C19C4">
      <w:rPr>
        <w:color w:val="333333"/>
        <w:sz w:val="20"/>
      </w:rPr>
      <w:t xml:space="preserve"> - Cantidad de palabras: </w:t>
    </w:r>
    <w:fldSimple w:instr=" NUMWORDS  \* MERGEFORMAT ">
      <w:r w:rsidR="00CB0EC7" w:rsidRPr="00CB0EC7">
        <w:rPr>
          <w:noProof/>
          <w:color w:val="333333"/>
          <w:sz w:val="20"/>
        </w:rPr>
        <w:t>766</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2F2F26" w:rsidRPr="001C19C4">
      <w:rPr>
        <w:rStyle w:val="Nmerodepgina"/>
        <w:color w:val="333333"/>
      </w:rPr>
      <w:fldChar w:fldCharType="begin"/>
    </w:r>
    <w:r w:rsidRPr="001C19C4">
      <w:rPr>
        <w:rStyle w:val="Nmerodepgina"/>
        <w:color w:val="333333"/>
      </w:rPr>
      <w:instrText xml:space="preserve"> PAGE </w:instrText>
    </w:r>
    <w:r w:rsidR="002F2F26" w:rsidRPr="001C19C4">
      <w:rPr>
        <w:rStyle w:val="Nmerodepgina"/>
        <w:color w:val="333333"/>
      </w:rPr>
      <w:fldChar w:fldCharType="separate"/>
    </w:r>
    <w:r w:rsidR="00CB0EC7">
      <w:rPr>
        <w:rStyle w:val="Nmerodepgina"/>
        <w:noProof/>
        <w:color w:val="333333"/>
      </w:rPr>
      <w:t>2</w:t>
    </w:r>
    <w:r w:rsidR="002F2F26" w:rsidRPr="001C19C4">
      <w:rPr>
        <w:rStyle w:val="Nmerodepgina"/>
        <w:color w:val="333333"/>
      </w:rPr>
      <w:fldChar w:fldCharType="end"/>
    </w:r>
    <w:r w:rsidRPr="001C19C4">
      <w:rPr>
        <w:rStyle w:val="Nmerodepgina"/>
        <w:color w:val="333333"/>
      </w:rPr>
      <w:t>/</w:t>
    </w:r>
    <w:fldSimple w:instr=" NUMPAGES  \* MERGEFORMAT ">
      <w:r w:rsidR="00CB0EC7" w:rsidRPr="00CB0EC7">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D13" w:rsidRDefault="00635D1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BDA" w:rsidRDefault="00086BDA">
      <w:r>
        <w:separator/>
      </w:r>
    </w:p>
  </w:footnote>
  <w:footnote w:type="continuationSeparator" w:id="0">
    <w:p w:rsidR="00086BDA" w:rsidRDefault="00086B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D13" w:rsidRDefault="00635D1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D13" w:rsidRDefault="00635D13">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3010"/>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D07"/>
    <w:rsid w:val="00086BDA"/>
    <w:rsid w:val="000B2290"/>
    <w:rsid w:val="000D1497"/>
    <w:rsid w:val="000D2860"/>
    <w:rsid w:val="000D6C54"/>
    <w:rsid w:val="000E3949"/>
    <w:rsid w:val="000F58D7"/>
    <w:rsid w:val="000F74CB"/>
    <w:rsid w:val="000F7E30"/>
    <w:rsid w:val="00103C6B"/>
    <w:rsid w:val="00103E94"/>
    <w:rsid w:val="00104335"/>
    <w:rsid w:val="00120E3C"/>
    <w:rsid w:val="00127D10"/>
    <w:rsid w:val="00136787"/>
    <w:rsid w:val="00145948"/>
    <w:rsid w:val="0015272B"/>
    <w:rsid w:val="00155C7C"/>
    <w:rsid w:val="00160A2A"/>
    <w:rsid w:val="001614A7"/>
    <w:rsid w:val="001714C1"/>
    <w:rsid w:val="001912B9"/>
    <w:rsid w:val="0019414B"/>
    <w:rsid w:val="001B770D"/>
    <w:rsid w:val="001C18CC"/>
    <w:rsid w:val="001C19C4"/>
    <w:rsid w:val="001C5C15"/>
    <w:rsid w:val="001D480C"/>
    <w:rsid w:val="001E0E01"/>
    <w:rsid w:val="001E5394"/>
    <w:rsid w:val="001F274B"/>
    <w:rsid w:val="001F2924"/>
    <w:rsid w:val="001F3AFD"/>
    <w:rsid w:val="00205802"/>
    <w:rsid w:val="00205DAD"/>
    <w:rsid w:val="00223436"/>
    <w:rsid w:val="002327DE"/>
    <w:rsid w:val="00246DF0"/>
    <w:rsid w:val="00250832"/>
    <w:rsid w:val="0026220D"/>
    <w:rsid w:val="00265972"/>
    <w:rsid w:val="00275865"/>
    <w:rsid w:val="00276A7E"/>
    <w:rsid w:val="00296815"/>
    <w:rsid w:val="002971A4"/>
    <w:rsid w:val="002B47D0"/>
    <w:rsid w:val="002C768C"/>
    <w:rsid w:val="002D05E9"/>
    <w:rsid w:val="002D3F59"/>
    <w:rsid w:val="002D533A"/>
    <w:rsid w:val="002D778C"/>
    <w:rsid w:val="002E38C3"/>
    <w:rsid w:val="002F2F26"/>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4000"/>
    <w:rsid w:val="003D43B2"/>
    <w:rsid w:val="003F1EFD"/>
    <w:rsid w:val="003F4249"/>
    <w:rsid w:val="00401C75"/>
    <w:rsid w:val="0040761B"/>
    <w:rsid w:val="00422C3F"/>
    <w:rsid w:val="004354AC"/>
    <w:rsid w:val="00446E1A"/>
    <w:rsid w:val="004847CA"/>
    <w:rsid w:val="004B7714"/>
    <w:rsid w:val="004C4B76"/>
    <w:rsid w:val="004D2D62"/>
    <w:rsid w:val="004D30D5"/>
    <w:rsid w:val="004D438B"/>
    <w:rsid w:val="004D7B3D"/>
    <w:rsid w:val="004E235F"/>
    <w:rsid w:val="0051012E"/>
    <w:rsid w:val="005142E6"/>
    <w:rsid w:val="00522C71"/>
    <w:rsid w:val="005241CE"/>
    <w:rsid w:val="00534552"/>
    <w:rsid w:val="00540D49"/>
    <w:rsid w:val="00540E5C"/>
    <w:rsid w:val="00545195"/>
    <w:rsid w:val="00550A79"/>
    <w:rsid w:val="00551DE0"/>
    <w:rsid w:val="0057409D"/>
    <w:rsid w:val="005769D4"/>
    <w:rsid w:val="00584777"/>
    <w:rsid w:val="00587242"/>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811D6"/>
    <w:rsid w:val="006850CC"/>
    <w:rsid w:val="00690392"/>
    <w:rsid w:val="00697F98"/>
    <w:rsid w:val="006C326A"/>
    <w:rsid w:val="006C40E9"/>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8019FD"/>
    <w:rsid w:val="00802520"/>
    <w:rsid w:val="008034F8"/>
    <w:rsid w:val="008108EF"/>
    <w:rsid w:val="0081158B"/>
    <w:rsid w:val="00812683"/>
    <w:rsid w:val="00820A3A"/>
    <w:rsid w:val="008252D5"/>
    <w:rsid w:val="00827228"/>
    <w:rsid w:val="0084164C"/>
    <w:rsid w:val="008433E2"/>
    <w:rsid w:val="00846702"/>
    <w:rsid w:val="008553EB"/>
    <w:rsid w:val="0086333F"/>
    <w:rsid w:val="008707AD"/>
    <w:rsid w:val="00870A2D"/>
    <w:rsid w:val="008844BF"/>
    <w:rsid w:val="0088546A"/>
    <w:rsid w:val="00890C59"/>
    <w:rsid w:val="00890E2F"/>
    <w:rsid w:val="008938E5"/>
    <w:rsid w:val="008B4536"/>
    <w:rsid w:val="008C4AC3"/>
    <w:rsid w:val="008D12C8"/>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4C56"/>
    <w:rsid w:val="00B1723C"/>
    <w:rsid w:val="00B177FE"/>
    <w:rsid w:val="00B264C1"/>
    <w:rsid w:val="00B31B65"/>
    <w:rsid w:val="00B36178"/>
    <w:rsid w:val="00B4532F"/>
    <w:rsid w:val="00B46232"/>
    <w:rsid w:val="00B85EE2"/>
    <w:rsid w:val="00B90C6D"/>
    <w:rsid w:val="00BF2B7B"/>
    <w:rsid w:val="00BF71C2"/>
    <w:rsid w:val="00C26F53"/>
    <w:rsid w:val="00C330CB"/>
    <w:rsid w:val="00C3675D"/>
    <w:rsid w:val="00C419C1"/>
    <w:rsid w:val="00C513EF"/>
    <w:rsid w:val="00C51E49"/>
    <w:rsid w:val="00C521F9"/>
    <w:rsid w:val="00C63351"/>
    <w:rsid w:val="00C71253"/>
    <w:rsid w:val="00C734F9"/>
    <w:rsid w:val="00C87365"/>
    <w:rsid w:val="00C93FF6"/>
    <w:rsid w:val="00CB0EC7"/>
    <w:rsid w:val="00CC20B0"/>
    <w:rsid w:val="00CE163F"/>
    <w:rsid w:val="00CF0AE5"/>
    <w:rsid w:val="00D00A56"/>
    <w:rsid w:val="00D21279"/>
    <w:rsid w:val="00D43AA2"/>
    <w:rsid w:val="00D518DB"/>
    <w:rsid w:val="00D55ECB"/>
    <w:rsid w:val="00D67721"/>
    <w:rsid w:val="00D7153D"/>
    <w:rsid w:val="00D758CE"/>
    <w:rsid w:val="00D76A86"/>
    <w:rsid w:val="00D927D4"/>
    <w:rsid w:val="00DA0B47"/>
    <w:rsid w:val="00DD2795"/>
    <w:rsid w:val="00DD4DE2"/>
    <w:rsid w:val="00DD520D"/>
    <w:rsid w:val="00DF0164"/>
    <w:rsid w:val="00DF14A9"/>
    <w:rsid w:val="00DF54AA"/>
    <w:rsid w:val="00E027B5"/>
    <w:rsid w:val="00E07D33"/>
    <w:rsid w:val="00E12909"/>
    <w:rsid w:val="00E12DDE"/>
    <w:rsid w:val="00E143B6"/>
    <w:rsid w:val="00E30CFF"/>
    <w:rsid w:val="00E35A94"/>
    <w:rsid w:val="00E55186"/>
    <w:rsid w:val="00E5658D"/>
    <w:rsid w:val="00E615F1"/>
    <w:rsid w:val="00E63146"/>
    <w:rsid w:val="00E64A1D"/>
    <w:rsid w:val="00E74920"/>
    <w:rsid w:val="00E81EE5"/>
    <w:rsid w:val="00E91F21"/>
    <w:rsid w:val="00E94781"/>
    <w:rsid w:val="00EA35F8"/>
    <w:rsid w:val="00EA4BAC"/>
    <w:rsid w:val="00EB6956"/>
    <w:rsid w:val="00EC6CE3"/>
    <w:rsid w:val="00EE6672"/>
    <w:rsid w:val="00EF0D22"/>
    <w:rsid w:val="00EF2B93"/>
    <w:rsid w:val="00F13C69"/>
    <w:rsid w:val="00F41DF6"/>
    <w:rsid w:val="00F52245"/>
    <w:rsid w:val="00F5569F"/>
    <w:rsid w:val="00F60308"/>
    <w:rsid w:val="00F640D0"/>
    <w:rsid w:val="00F75389"/>
    <w:rsid w:val="00F903E8"/>
    <w:rsid w:val="00FA0C8C"/>
    <w:rsid w:val="00FB4F4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693AB5-770C-442B-9E2A-A071F1973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10</TotalTime>
  <Pages>2</Pages>
  <Words>766</Words>
  <Characters>4433</Characters>
  <Application>Microsoft Office Word</Application>
  <DocSecurity>0</DocSecurity>
  <Lines>108</Lines>
  <Paragraphs>24</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8</cp:revision>
  <cp:lastPrinted>2020-02-28T17:24:00Z</cp:lastPrinted>
  <dcterms:created xsi:type="dcterms:W3CDTF">2026-05-11T18:35:00Z</dcterms:created>
  <dcterms:modified xsi:type="dcterms:W3CDTF">2026-06-04T16:38:00Z</dcterms:modified>
</cp:coreProperties>
</file>