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1649FA">
        <w:rPr>
          <w:szCs w:val="24"/>
          <w:lang w:val="es-ES"/>
        </w:rPr>
        <w:t>13</w:t>
      </w:r>
      <w:r w:rsidR="00841E33">
        <w:rPr>
          <w:szCs w:val="24"/>
          <w:lang w:val="es-ES"/>
        </w:rPr>
        <w:t>9</w:t>
      </w:r>
      <w:r w:rsidR="00287934">
        <w:rPr>
          <w:szCs w:val="24"/>
          <w:lang w:val="es-ES"/>
        </w:rPr>
        <w:t>4</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9E4D29" w:rsidRDefault="00CF0AE5" w:rsidP="00E5658D">
      <w:pPr>
        <w:rPr>
          <w:szCs w:val="24"/>
        </w:rPr>
      </w:pPr>
      <w:r w:rsidRPr="00E94781">
        <w:rPr>
          <w:szCs w:val="24"/>
        </w:rPr>
        <w:t xml:space="preserve">El expediente </w:t>
      </w:r>
      <w:r w:rsidR="00C07EC7">
        <w:rPr>
          <w:szCs w:val="24"/>
        </w:rPr>
        <w:t>1</w:t>
      </w:r>
      <w:r w:rsidR="001649FA">
        <w:rPr>
          <w:szCs w:val="24"/>
        </w:rPr>
        <w:t>3</w:t>
      </w:r>
      <w:r w:rsidR="009E4D29">
        <w:rPr>
          <w:szCs w:val="24"/>
        </w:rPr>
        <w:t>9</w:t>
      </w:r>
      <w:r w:rsidR="00DA53A4">
        <w:rPr>
          <w:szCs w:val="24"/>
        </w:rPr>
        <w:t>4</w:t>
      </w:r>
      <w:r w:rsidRPr="00E94781">
        <w:rPr>
          <w:szCs w:val="24"/>
        </w:rPr>
        <w:t>-</w:t>
      </w:r>
      <w:r w:rsidR="006576F3">
        <w:rPr>
          <w:szCs w:val="24"/>
        </w:rPr>
        <w:t>D</w:t>
      </w:r>
      <w:r w:rsidRPr="00E94781">
        <w:rPr>
          <w:szCs w:val="24"/>
        </w:rPr>
        <w:t>-2026</w:t>
      </w:r>
      <w:r w:rsidR="00E94781">
        <w:rPr>
          <w:szCs w:val="24"/>
        </w:rPr>
        <w:t>, de autoría de</w:t>
      </w:r>
      <w:r w:rsidR="00DA53A4">
        <w:rPr>
          <w:szCs w:val="24"/>
        </w:rPr>
        <w:t>l</w:t>
      </w:r>
      <w:r w:rsidR="00976EFE">
        <w:rPr>
          <w:szCs w:val="24"/>
        </w:rPr>
        <w:t xml:space="preserve"> </w:t>
      </w:r>
      <w:r w:rsidR="00DA53A4">
        <w:rPr>
          <w:szCs w:val="24"/>
        </w:rPr>
        <w:t>diputado</w:t>
      </w:r>
      <w:r w:rsidR="009E4D29">
        <w:rPr>
          <w:szCs w:val="24"/>
        </w:rPr>
        <w:t xml:space="preserve"> </w:t>
      </w:r>
      <w:proofErr w:type="spellStart"/>
      <w:r w:rsidR="00DA53A4">
        <w:rPr>
          <w:szCs w:val="24"/>
        </w:rPr>
        <w:t>Wolff</w:t>
      </w:r>
      <w:proofErr w:type="spellEnd"/>
      <w:r w:rsidR="009E4D29">
        <w:rPr>
          <w:szCs w:val="24"/>
        </w:rPr>
        <w:t xml:space="preserve">, </w:t>
      </w:r>
      <w:r w:rsidR="00DA53A4">
        <w:rPr>
          <w:szCs w:val="24"/>
        </w:rPr>
        <w:t>Waldo</w:t>
      </w:r>
      <w:r w:rsidR="009E4D29">
        <w:rPr>
          <w:szCs w:val="24"/>
        </w:rPr>
        <w:t xml:space="preserve">, </w:t>
      </w:r>
      <w:r w:rsidR="00E35A94">
        <w:rPr>
          <w:szCs w:val="24"/>
        </w:rPr>
        <w:t xml:space="preserve">referido a </w:t>
      </w:r>
      <w:r w:rsidR="00CE2EDE">
        <w:rPr>
          <w:szCs w:val="24"/>
        </w:rPr>
        <w:t>declarar</w:t>
      </w:r>
      <w:r w:rsidR="00976EFE">
        <w:rPr>
          <w:szCs w:val="24"/>
        </w:rPr>
        <w:t xml:space="preserve"> </w:t>
      </w:r>
      <w:r w:rsidR="00DA53A4" w:rsidRPr="00DA53A4">
        <w:rPr>
          <w:szCs w:val="24"/>
        </w:rPr>
        <w:t xml:space="preserve">de Interés de la Ciudad Autónoma de Buenos Aires para la Comunicación Social el libro “Cajita de Colores”, de autoría de Sergio </w:t>
      </w:r>
      <w:proofErr w:type="spellStart"/>
      <w:r w:rsidR="00DA53A4" w:rsidRPr="00DA53A4">
        <w:rPr>
          <w:szCs w:val="24"/>
        </w:rPr>
        <w:t>Kuchevasky</w:t>
      </w:r>
      <w:proofErr w:type="spellEnd"/>
      <w:r w:rsidR="00DA53A4" w:rsidRPr="00DA53A4">
        <w:rPr>
          <w:szCs w:val="24"/>
        </w:rPr>
        <w:t>.</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DA53A4" w:rsidRDefault="00DA53A4" w:rsidP="00DA53A4">
      <w:pPr>
        <w:rPr>
          <w:szCs w:val="24"/>
        </w:rPr>
      </w:pPr>
      <w:r>
        <w:rPr>
          <w:szCs w:val="24"/>
        </w:rPr>
        <w:t>Que el</w:t>
      </w:r>
      <w:r w:rsidRPr="00DA53A4">
        <w:rPr>
          <w:szCs w:val="24"/>
        </w:rPr>
        <w:t xml:space="preserve"> libro “Cajita de Colores”, de Sergio Manuel </w:t>
      </w:r>
      <w:proofErr w:type="spellStart"/>
      <w:r w:rsidRPr="00DA53A4">
        <w:rPr>
          <w:szCs w:val="24"/>
        </w:rPr>
        <w:t>Kuchevasky</w:t>
      </w:r>
      <w:proofErr w:type="spellEnd"/>
      <w:r w:rsidRPr="00DA53A4">
        <w:rPr>
          <w:szCs w:val="24"/>
        </w:rPr>
        <w:t>, constituye una obra de valor testimonial que, a partir de una narrativa íntima, reconstruye la vida del Teatro Colón en un período significativo para la Ciudad Autónoma de Buenos Aires, aportando a la difusión y transmisión de su memoria cultural.</w:t>
      </w:r>
    </w:p>
    <w:p w:rsidR="00DA53A4" w:rsidRPr="00DA53A4" w:rsidRDefault="00DA53A4" w:rsidP="00DA53A4">
      <w:pPr>
        <w:rPr>
          <w:szCs w:val="24"/>
        </w:rPr>
      </w:pPr>
    </w:p>
    <w:p w:rsidR="00DA53A4" w:rsidRDefault="00DA53A4" w:rsidP="00DA53A4">
      <w:pPr>
        <w:rPr>
          <w:szCs w:val="24"/>
        </w:rPr>
      </w:pPr>
      <w:r>
        <w:rPr>
          <w:szCs w:val="24"/>
        </w:rPr>
        <w:t>Que e</w:t>
      </w:r>
      <w:r w:rsidRPr="00DA53A4">
        <w:rPr>
          <w:szCs w:val="24"/>
        </w:rPr>
        <w:t>l autor entrelaza memoria personal, historia institucional y contexto cultural, ofreciendo un recorrido por el funcionamiento cotidiano de una de las principales instituciones artísticas del país. En este sentido, la obra adquiere especial relevancia al visibilizar relatos, experiencias y oficios que forman parte de la identidad cultural de la Ciudad y que, en muchos casos, permanecen fuera del registro público.</w:t>
      </w:r>
    </w:p>
    <w:p w:rsidR="00DA53A4" w:rsidRPr="00DA53A4" w:rsidRDefault="00DA53A4" w:rsidP="00DA53A4">
      <w:pPr>
        <w:rPr>
          <w:szCs w:val="24"/>
        </w:rPr>
      </w:pPr>
    </w:p>
    <w:p w:rsidR="00DA53A4" w:rsidRDefault="00DA53A4" w:rsidP="00DA53A4">
      <w:pPr>
        <w:rPr>
          <w:szCs w:val="24"/>
        </w:rPr>
      </w:pPr>
      <w:r>
        <w:rPr>
          <w:szCs w:val="24"/>
        </w:rPr>
        <w:t>Que e</w:t>
      </w:r>
      <w:r w:rsidRPr="00DA53A4">
        <w:rPr>
          <w:szCs w:val="24"/>
        </w:rPr>
        <w:t>l libro adquiere un valor particular al rescatar la historia de una familia de la comunidad judía argentina estrechamente vinculada al Teatro Colón, poniendo en diálogo la memoria familiar, la identidad comunitaria y el patrimonio cultural de Buenos Aires. Esta perspectiva enriquece la construcción de una memoria plural, reflejando el aporte de las distintas colectividades a la vida cultural porteña.</w:t>
      </w:r>
    </w:p>
    <w:p w:rsidR="00DA53A4" w:rsidRPr="00DA53A4" w:rsidRDefault="00DA53A4" w:rsidP="00DA53A4">
      <w:pPr>
        <w:rPr>
          <w:szCs w:val="24"/>
        </w:rPr>
      </w:pPr>
    </w:p>
    <w:p w:rsidR="00DA53A4" w:rsidRDefault="00DA53A4" w:rsidP="00DA53A4">
      <w:pPr>
        <w:rPr>
          <w:szCs w:val="24"/>
        </w:rPr>
      </w:pPr>
      <w:r>
        <w:rPr>
          <w:szCs w:val="24"/>
        </w:rPr>
        <w:t>Que el</w:t>
      </w:r>
      <w:r w:rsidRPr="00DA53A4">
        <w:rPr>
          <w:szCs w:val="24"/>
        </w:rPr>
        <w:t xml:space="preserve"> Teatro Colón, como símbolo indiscutido de la identidad cultural de Buenos Aires, encuentra en esta obra una reconstrucción que trasciende lo estrictamente artístico para adentrarse en su dimensión social, comunitaria y generacional.</w:t>
      </w:r>
    </w:p>
    <w:p w:rsidR="00DA53A4" w:rsidRPr="00DA53A4" w:rsidRDefault="00DA53A4" w:rsidP="00DA53A4">
      <w:pPr>
        <w:rPr>
          <w:szCs w:val="24"/>
        </w:rPr>
      </w:pPr>
    </w:p>
    <w:p w:rsidR="009E4D29" w:rsidRPr="009E4D29" w:rsidRDefault="00DA53A4" w:rsidP="00DA53A4">
      <w:pPr>
        <w:rPr>
          <w:szCs w:val="24"/>
        </w:rPr>
      </w:pPr>
      <w:r>
        <w:rPr>
          <w:szCs w:val="24"/>
        </w:rPr>
        <w:t>Que</w:t>
      </w:r>
      <w:r w:rsidRPr="00DA53A4">
        <w:rPr>
          <w:szCs w:val="24"/>
        </w:rPr>
        <w:t xml:space="preserve"> la obra integra la presencia de destacadas figuras de la lírica, la danza y la música, junto con el trabajo cotidiano de quienes forman parte de la vida del Teatro, fortaleciendo su valor como herramienta de difusión cultural y transmisión de experiencias.</w:t>
      </w:r>
    </w:p>
    <w:p w:rsidR="00CF0AE5" w:rsidRPr="00E94781" w:rsidRDefault="00CF0AE5" w:rsidP="00CE2EDE">
      <w:pPr>
        <w:rPr>
          <w:szCs w:val="24"/>
        </w:rPr>
      </w:pPr>
    </w:p>
    <w:p w:rsidR="00CF0AE5" w:rsidRPr="00E94781" w:rsidRDefault="00CF0AE5" w:rsidP="00CE2EDE">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E2EDE">
      <w:pPr>
        <w:pStyle w:val="Normal1"/>
        <w:spacing w:line="240" w:lineRule="auto"/>
        <w:jc w:val="both"/>
        <w:rPr>
          <w:rFonts w:ascii="Times New Roman" w:hAnsi="Times New Roman" w:cs="Times New Roman"/>
          <w:b/>
          <w:sz w:val="24"/>
          <w:szCs w:val="24"/>
          <w:lang w:val="es-ES"/>
        </w:rPr>
      </w:pPr>
    </w:p>
    <w:p w:rsidR="00CF0AE5" w:rsidRDefault="009C6565" w:rsidP="00CE2EDE">
      <w:pPr>
        <w:pStyle w:val="Normal1"/>
        <w:spacing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DECLARACIÓN</w:t>
      </w:r>
    </w:p>
    <w:p w:rsidR="00DF5561" w:rsidRDefault="00DF5561" w:rsidP="00CE2EDE">
      <w:pPr>
        <w:pStyle w:val="Normal1"/>
        <w:spacing w:line="240" w:lineRule="auto"/>
        <w:jc w:val="both"/>
        <w:rPr>
          <w:rFonts w:ascii="Times New Roman" w:hAnsi="Times New Roman" w:cs="Times New Roman"/>
          <w:b/>
          <w:sz w:val="24"/>
          <w:szCs w:val="24"/>
          <w:lang w:val="es-ES"/>
        </w:rPr>
      </w:pPr>
    </w:p>
    <w:p w:rsidR="00CE2EDE" w:rsidRPr="00CE2EDE" w:rsidRDefault="00CE2EDE" w:rsidP="00CE2EDE">
      <w:pPr>
        <w:pStyle w:val="Normal1"/>
        <w:spacing w:line="240" w:lineRule="auto"/>
        <w:jc w:val="both"/>
        <w:rPr>
          <w:rFonts w:ascii="Times New Roman" w:hAnsi="Times New Roman" w:cs="Times New Roman"/>
          <w:sz w:val="24"/>
          <w:szCs w:val="24"/>
          <w:lang w:val="es-ES"/>
        </w:rPr>
      </w:pPr>
      <w:r w:rsidRPr="00CE2EDE">
        <w:rPr>
          <w:rFonts w:ascii="Times New Roman" w:hAnsi="Times New Roman" w:cs="Times New Roman"/>
          <w:sz w:val="24"/>
          <w:szCs w:val="24"/>
          <w:lang w:val="es-ES"/>
        </w:rPr>
        <w:t xml:space="preserve">Se declara de </w:t>
      </w:r>
      <w:r w:rsidR="00DA53A4" w:rsidRPr="00DA53A4">
        <w:rPr>
          <w:rFonts w:ascii="Times New Roman" w:hAnsi="Times New Roman" w:cs="Times New Roman"/>
          <w:sz w:val="24"/>
          <w:szCs w:val="24"/>
          <w:lang w:val="es-ES"/>
        </w:rPr>
        <w:t xml:space="preserve">Interés de la Ciudad Autónoma de Buenos Aires para la Comunicación Social el libro “Cajita de Colores”, de autoría de Sergio </w:t>
      </w:r>
      <w:proofErr w:type="spellStart"/>
      <w:r w:rsidR="00DA53A4" w:rsidRPr="00DA53A4">
        <w:rPr>
          <w:rFonts w:ascii="Times New Roman" w:hAnsi="Times New Roman" w:cs="Times New Roman"/>
          <w:sz w:val="24"/>
          <w:szCs w:val="24"/>
          <w:lang w:val="es-ES"/>
        </w:rPr>
        <w:t>Kuchevasky</w:t>
      </w:r>
      <w:proofErr w:type="spellEnd"/>
      <w:r w:rsidR="00DA53A4" w:rsidRPr="00DA53A4">
        <w:rPr>
          <w:rFonts w:ascii="Times New Roman" w:hAnsi="Times New Roman" w:cs="Times New Roman"/>
          <w:sz w:val="24"/>
          <w:szCs w:val="24"/>
          <w:lang w:val="es-ES"/>
        </w:rPr>
        <w:t>.</w:t>
      </w:r>
    </w:p>
    <w:p w:rsidR="00E94781" w:rsidRDefault="00E94781" w:rsidP="00CE2EDE">
      <w:pPr>
        <w:rPr>
          <w:szCs w:val="24"/>
        </w:rPr>
      </w:pPr>
    </w:p>
    <w:p w:rsidR="00E94781" w:rsidRPr="00E94781" w:rsidRDefault="00E94781" w:rsidP="00CE2EDE">
      <w:pPr>
        <w:rPr>
          <w:szCs w:val="24"/>
        </w:rPr>
      </w:pPr>
    </w:p>
    <w:p w:rsidR="00CF0AE5" w:rsidRDefault="00E94781" w:rsidP="00CE2EDE">
      <w:pPr>
        <w:rPr>
          <w:szCs w:val="24"/>
          <w:lang w:val="es-ES"/>
        </w:rPr>
      </w:pPr>
      <w:r>
        <w:rPr>
          <w:szCs w:val="24"/>
          <w:lang w:val="es-ES"/>
        </w:rPr>
        <w:t xml:space="preserve">Sala de la Comisión, </w:t>
      </w:r>
      <w:r w:rsidR="00283DDC">
        <w:rPr>
          <w:szCs w:val="24"/>
          <w:lang w:val="es-ES"/>
        </w:rPr>
        <w:t>11</w:t>
      </w:r>
      <w:r>
        <w:rPr>
          <w:szCs w:val="24"/>
          <w:lang w:val="es-ES"/>
        </w:rPr>
        <w:t xml:space="preserve"> </w:t>
      </w:r>
      <w:r w:rsidR="00CF0AE5" w:rsidRPr="00E94781">
        <w:rPr>
          <w:szCs w:val="24"/>
          <w:lang w:val="es-ES"/>
        </w:rPr>
        <w:t>de</w:t>
      </w:r>
      <w:r>
        <w:rPr>
          <w:szCs w:val="24"/>
          <w:lang w:val="es-ES"/>
        </w:rPr>
        <w:t xml:space="preserve"> </w:t>
      </w:r>
      <w:r w:rsidR="00283DDC">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DA53A4" w:rsidRDefault="00DA53A4" w:rsidP="00CF0AE5">
      <w:pPr>
        <w:spacing w:line="360" w:lineRule="auto"/>
        <w:rPr>
          <w:szCs w:val="24"/>
          <w:lang w:val="es-ES"/>
        </w:rPr>
      </w:pPr>
    </w:p>
    <w:p w:rsidR="00DA53A4" w:rsidRDefault="00DA53A4" w:rsidP="00CF0AE5">
      <w:pPr>
        <w:spacing w:line="360" w:lineRule="auto"/>
        <w:rPr>
          <w:szCs w:val="24"/>
          <w:lang w:val="es-ES"/>
        </w:rPr>
      </w:pPr>
    </w:p>
    <w:p w:rsidR="00E35A94" w:rsidRPr="00E94781" w:rsidRDefault="00E35A94"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lastRenderedPageBreak/>
        <w:t xml:space="preserve">                                                                                          </w:t>
      </w:r>
      <w:r w:rsidRPr="00E94781">
        <w:rPr>
          <w:szCs w:val="24"/>
          <w:lang w:val="es-ES"/>
        </w:rPr>
        <w:t xml:space="preserve"> </w:t>
      </w:r>
      <w:proofErr w:type="spellStart"/>
      <w:r w:rsidRPr="00E94781">
        <w:rPr>
          <w:szCs w:val="24"/>
        </w:rPr>
        <w:t>Glize</w:t>
      </w:r>
      <w:proofErr w:type="spellEnd"/>
      <w:r w:rsidRPr="00E94781">
        <w:rPr>
          <w:szCs w:val="24"/>
        </w:rPr>
        <w:t xml:space="preserv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w:t>
      </w:r>
      <w:proofErr w:type="spellStart"/>
      <w:r w:rsidRPr="00E94781">
        <w:rPr>
          <w:szCs w:val="24"/>
        </w:rPr>
        <w:t>Ernst</w:t>
      </w:r>
      <w:proofErr w:type="spellEnd"/>
      <w:r w:rsidRPr="00E94781">
        <w:rPr>
          <w:szCs w:val="24"/>
        </w:rPr>
        <w:t xml:space="preserve">,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w:t>
      </w:r>
      <w:proofErr w:type="spellStart"/>
      <w:r w:rsidRPr="00E94781">
        <w:rPr>
          <w:szCs w:val="24"/>
        </w:rPr>
        <w:t>Imas</w:t>
      </w:r>
      <w:proofErr w:type="spellEnd"/>
      <w:r w:rsidRPr="00E94781">
        <w:rPr>
          <w:szCs w:val="24"/>
        </w:rPr>
        <w:t xml:space="preserve">, Silvia                                                               </w:t>
      </w:r>
      <w:proofErr w:type="spellStart"/>
      <w:r w:rsidRPr="00E94781">
        <w:rPr>
          <w:szCs w:val="24"/>
        </w:rPr>
        <w:t>Loupias</w:t>
      </w:r>
      <w:proofErr w:type="spellEnd"/>
      <w:r w:rsidRPr="00E94781">
        <w:rPr>
          <w:szCs w:val="24"/>
        </w:rPr>
        <w:t xml:space="preserve">,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roofErr w:type="spellStart"/>
      <w:r w:rsidRPr="00E94781">
        <w:rPr>
          <w:szCs w:val="24"/>
        </w:rPr>
        <w:t>Modarelli</w:t>
      </w:r>
      <w:proofErr w:type="spellEnd"/>
      <w:r w:rsidRPr="00E94781">
        <w:rPr>
          <w:szCs w:val="24"/>
        </w:rPr>
        <w:t>, Juan Pablo                                                      Siciliano, Sergio</w:t>
      </w:r>
    </w:p>
    <w:p w:rsidR="00CF0AE5" w:rsidRPr="00E94781" w:rsidRDefault="00CF0AE5" w:rsidP="00E5658D">
      <w:pPr>
        <w:rPr>
          <w:szCs w:val="24"/>
        </w:rPr>
      </w:pPr>
    </w:p>
    <w:p w:rsidR="00CF0AE5" w:rsidRPr="00E94781" w:rsidRDefault="00CF0AE5" w:rsidP="00E5658D">
      <w:pPr>
        <w:rPr>
          <w:szCs w:val="24"/>
        </w:rPr>
      </w:pPr>
    </w:p>
    <w:sectPr w:rsidR="00CF0AE5" w:rsidRPr="00E94781" w:rsidSect="005E3C49">
      <w:headerReference w:type="even" r:id="rId7"/>
      <w:headerReference w:type="default" r:id="rId8"/>
      <w:footerReference w:type="even" r:id="rId9"/>
      <w:footerReference w:type="default" r:id="rId10"/>
      <w:headerReference w:type="first" r:id="rId11"/>
      <w:footerReference w:type="first" r:id="rId12"/>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4C79" w:rsidRDefault="006A4C79">
      <w:r>
        <w:separator/>
      </w:r>
    </w:p>
  </w:endnote>
  <w:endnote w:type="continuationSeparator" w:id="0">
    <w:p w:rsidR="006A4C79" w:rsidRDefault="006A4C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DDC" w:rsidRDefault="00283DD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283DDC" w:rsidRPr="00283DDC">
        <w:rPr>
          <w:noProof/>
          <w:color w:val="333333"/>
          <w:sz w:val="20"/>
        </w:rPr>
        <w:t>21/05/2026 16:16:00</w:t>
      </w:r>
    </w:fldSimple>
    <w:r w:rsidRPr="001C19C4">
      <w:rPr>
        <w:color w:val="333333"/>
        <w:sz w:val="20"/>
      </w:rPr>
      <w:t xml:space="preserve">  -  Cantidad de caracteres: </w:t>
    </w:r>
    <w:fldSimple w:instr=" NUMCHARS  \* MERGEFORMAT ">
      <w:r w:rsidR="00283DDC" w:rsidRPr="00283DDC">
        <w:rPr>
          <w:noProof/>
          <w:color w:val="333333"/>
          <w:sz w:val="20"/>
        </w:rPr>
        <w:t>2106</w:t>
      </w:r>
    </w:fldSimple>
    <w:r w:rsidRPr="001C19C4">
      <w:rPr>
        <w:color w:val="333333"/>
        <w:sz w:val="20"/>
      </w:rPr>
      <w:t xml:space="preserve"> - Cantidad de palabras: </w:t>
    </w:r>
    <w:fldSimple w:instr=" NUMWORDS  \* MERGEFORMAT ">
      <w:r w:rsidR="00283DDC" w:rsidRPr="00283DDC">
        <w:rPr>
          <w:noProof/>
          <w:color w:val="333333"/>
          <w:sz w:val="20"/>
        </w:rPr>
        <w:t>373</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203C5F" w:rsidRPr="001C19C4">
      <w:rPr>
        <w:rStyle w:val="Nmerodepgina"/>
        <w:color w:val="333333"/>
      </w:rPr>
      <w:fldChar w:fldCharType="begin"/>
    </w:r>
    <w:r w:rsidRPr="001C19C4">
      <w:rPr>
        <w:rStyle w:val="Nmerodepgina"/>
        <w:color w:val="333333"/>
      </w:rPr>
      <w:instrText xml:space="preserve"> PAGE </w:instrText>
    </w:r>
    <w:r w:rsidR="00203C5F" w:rsidRPr="001C19C4">
      <w:rPr>
        <w:rStyle w:val="Nmerodepgina"/>
        <w:color w:val="333333"/>
      </w:rPr>
      <w:fldChar w:fldCharType="separate"/>
    </w:r>
    <w:r w:rsidR="00283DDC">
      <w:rPr>
        <w:rStyle w:val="Nmerodepgina"/>
        <w:noProof/>
        <w:color w:val="333333"/>
      </w:rPr>
      <w:t>1</w:t>
    </w:r>
    <w:r w:rsidR="00203C5F" w:rsidRPr="001C19C4">
      <w:rPr>
        <w:rStyle w:val="Nmerodepgina"/>
        <w:color w:val="333333"/>
      </w:rPr>
      <w:fldChar w:fldCharType="end"/>
    </w:r>
    <w:r w:rsidRPr="001C19C4">
      <w:rPr>
        <w:rStyle w:val="Nmerodepgina"/>
        <w:color w:val="333333"/>
      </w:rPr>
      <w:t>/</w:t>
    </w:r>
    <w:fldSimple w:instr=" NUMPAGES  \* MERGEFORMAT ">
      <w:r w:rsidR="00283DDC" w:rsidRPr="00283DDC">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DDC" w:rsidRDefault="00283DD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4C79" w:rsidRDefault="006A4C79">
      <w:r>
        <w:separator/>
      </w:r>
    </w:p>
  </w:footnote>
  <w:footnote w:type="continuationSeparator" w:id="0">
    <w:p w:rsidR="006A4C79" w:rsidRDefault="006A4C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DDC" w:rsidRDefault="00283DD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DDC" w:rsidRDefault="00283DDC">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5298"/>
  </w:hdrShapeDefaults>
  <w:footnotePr>
    <w:footnote w:id="-1"/>
    <w:footnote w:id="0"/>
  </w:footnotePr>
  <w:endnotePr>
    <w:endnote w:id="-1"/>
    <w:endnote w:id="0"/>
  </w:endnotePr>
  <w:compat/>
  <w:rsids>
    <w:rsidRoot w:val="00103E94"/>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58D7"/>
    <w:rsid w:val="000F74CB"/>
    <w:rsid w:val="000F7E30"/>
    <w:rsid w:val="00103C6B"/>
    <w:rsid w:val="00103E94"/>
    <w:rsid w:val="00104335"/>
    <w:rsid w:val="0012158C"/>
    <w:rsid w:val="00127D10"/>
    <w:rsid w:val="00136787"/>
    <w:rsid w:val="00145948"/>
    <w:rsid w:val="0015272B"/>
    <w:rsid w:val="00155C7C"/>
    <w:rsid w:val="00160A2A"/>
    <w:rsid w:val="001614A7"/>
    <w:rsid w:val="001649FA"/>
    <w:rsid w:val="001912B9"/>
    <w:rsid w:val="0019414B"/>
    <w:rsid w:val="001B770D"/>
    <w:rsid w:val="001C18CC"/>
    <w:rsid w:val="001C19C4"/>
    <w:rsid w:val="001D480C"/>
    <w:rsid w:val="001E0E01"/>
    <w:rsid w:val="001E5394"/>
    <w:rsid w:val="001F274B"/>
    <w:rsid w:val="001F2924"/>
    <w:rsid w:val="001F3AFD"/>
    <w:rsid w:val="00203C5F"/>
    <w:rsid w:val="00205802"/>
    <w:rsid w:val="00205DAD"/>
    <w:rsid w:val="00223436"/>
    <w:rsid w:val="002327DE"/>
    <w:rsid w:val="00246DF0"/>
    <w:rsid w:val="00250832"/>
    <w:rsid w:val="0026220D"/>
    <w:rsid w:val="00265972"/>
    <w:rsid w:val="00275865"/>
    <w:rsid w:val="00276A7E"/>
    <w:rsid w:val="00283DDC"/>
    <w:rsid w:val="00287934"/>
    <w:rsid w:val="00296815"/>
    <w:rsid w:val="002971A4"/>
    <w:rsid w:val="002B22E8"/>
    <w:rsid w:val="002B47D0"/>
    <w:rsid w:val="002C768C"/>
    <w:rsid w:val="002D05E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7311"/>
    <w:rsid w:val="003B471C"/>
    <w:rsid w:val="003D10AB"/>
    <w:rsid w:val="003D4000"/>
    <w:rsid w:val="003D43B2"/>
    <w:rsid w:val="003F1EFD"/>
    <w:rsid w:val="003F4249"/>
    <w:rsid w:val="00401C75"/>
    <w:rsid w:val="0040761B"/>
    <w:rsid w:val="00422C3F"/>
    <w:rsid w:val="004354AC"/>
    <w:rsid w:val="00446E1A"/>
    <w:rsid w:val="00450273"/>
    <w:rsid w:val="004847CA"/>
    <w:rsid w:val="004B7714"/>
    <w:rsid w:val="004C4B76"/>
    <w:rsid w:val="004D2D62"/>
    <w:rsid w:val="004D30D5"/>
    <w:rsid w:val="004D438B"/>
    <w:rsid w:val="004D7B3D"/>
    <w:rsid w:val="004E235F"/>
    <w:rsid w:val="0051012E"/>
    <w:rsid w:val="005142E6"/>
    <w:rsid w:val="00520363"/>
    <w:rsid w:val="00522C71"/>
    <w:rsid w:val="005241CE"/>
    <w:rsid w:val="00534552"/>
    <w:rsid w:val="00540D49"/>
    <w:rsid w:val="00540E5C"/>
    <w:rsid w:val="00545195"/>
    <w:rsid w:val="00550A79"/>
    <w:rsid w:val="00551DE0"/>
    <w:rsid w:val="0057409D"/>
    <w:rsid w:val="005769D4"/>
    <w:rsid w:val="00584777"/>
    <w:rsid w:val="00587242"/>
    <w:rsid w:val="005924FA"/>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44D7"/>
    <w:rsid w:val="006751A8"/>
    <w:rsid w:val="006811D6"/>
    <w:rsid w:val="00684F85"/>
    <w:rsid w:val="006850CC"/>
    <w:rsid w:val="00690392"/>
    <w:rsid w:val="00697F98"/>
    <w:rsid w:val="006A4C79"/>
    <w:rsid w:val="006C326A"/>
    <w:rsid w:val="006C40E9"/>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7F21BC"/>
    <w:rsid w:val="007F4994"/>
    <w:rsid w:val="008019FD"/>
    <w:rsid w:val="008034F8"/>
    <w:rsid w:val="008108EF"/>
    <w:rsid w:val="0081158B"/>
    <w:rsid w:val="00812683"/>
    <w:rsid w:val="00820A3A"/>
    <w:rsid w:val="008252D5"/>
    <w:rsid w:val="00827228"/>
    <w:rsid w:val="00841E33"/>
    <w:rsid w:val="008433E2"/>
    <w:rsid w:val="00846702"/>
    <w:rsid w:val="008553EB"/>
    <w:rsid w:val="0086333F"/>
    <w:rsid w:val="00870A2D"/>
    <w:rsid w:val="008844BF"/>
    <w:rsid w:val="0088546A"/>
    <w:rsid w:val="00890C59"/>
    <w:rsid w:val="00890E2F"/>
    <w:rsid w:val="008938E5"/>
    <w:rsid w:val="008B4536"/>
    <w:rsid w:val="008C4AC3"/>
    <w:rsid w:val="008D12C8"/>
    <w:rsid w:val="00906685"/>
    <w:rsid w:val="00910E0F"/>
    <w:rsid w:val="0091690E"/>
    <w:rsid w:val="00947238"/>
    <w:rsid w:val="009624FC"/>
    <w:rsid w:val="0096461D"/>
    <w:rsid w:val="00976EFE"/>
    <w:rsid w:val="009953AF"/>
    <w:rsid w:val="00996E34"/>
    <w:rsid w:val="009A6E2B"/>
    <w:rsid w:val="009B4FAC"/>
    <w:rsid w:val="009C20D3"/>
    <w:rsid w:val="009C6565"/>
    <w:rsid w:val="009E4D29"/>
    <w:rsid w:val="009E5835"/>
    <w:rsid w:val="009F4E01"/>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7035"/>
    <w:rsid w:val="00AE2E8F"/>
    <w:rsid w:val="00AF5760"/>
    <w:rsid w:val="00AF6352"/>
    <w:rsid w:val="00B05649"/>
    <w:rsid w:val="00B1723C"/>
    <w:rsid w:val="00B177FE"/>
    <w:rsid w:val="00B264C1"/>
    <w:rsid w:val="00B31B65"/>
    <w:rsid w:val="00B36178"/>
    <w:rsid w:val="00B4532F"/>
    <w:rsid w:val="00B46232"/>
    <w:rsid w:val="00B83BF8"/>
    <w:rsid w:val="00B85EE2"/>
    <w:rsid w:val="00B90C6D"/>
    <w:rsid w:val="00BF2B7B"/>
    <w:rsid w:val="00BF71C2"/>
    <w:rsid w:val="00C07EC7"/>
    <w:rsid w:val="00C26F53"/>
    <w:rsid w:val="00C32D09"/>
    <w:rsid w:val="00C330CB"/>
    <w:rsid w:val="00C348AB"/>
    <w:rsid w:val="00C3675D"/>
    <w:rsid w:val="00C419C1"/>
    <w:rsid w:val="00C51E49"/>
    <w:rsid w:val="00C521F9"/>
    <w:rsid w:val="00C63351"/>
    <w:rsid w:val="00C71253"/>
    <w:rsid w:val="00C734F9"/>
    <w:rsid w:val="00C87365"/>
    <w:rsid w:val="00C93FF6"/>
    <w:rsid w:val="00C94FAB"/>
    <w:rsid w:val="00CC20B0"/>
    <w:rsid w:val="00CE163F"/>
    <w:rsid w:val="00CE2EDE"/>
    <w:rsid w:val="00CF0AE5"/>
    <w:rsid w:val="00D00A56"/>
    <w:rsid w:val="00D21279"/>
    <w:rsid w:val="00D43AA2"/>
    <w:rsid w:val="00D518DB"/>
    <w:rsid w:val="00D55ECB"/>
    <w:rsid w:val="00D67721"/>
    <w:rsid w:val="00D7153D"/>
    <w:rsid w:val="00D758CE"/>
    <w:rsid w:val="00D76A86"/>
    <w:rsid w:val="00D927D4"/>
    <w:rsid w:val="00DA53A4"/>
    <w:rsid w:val="00DD2795"/>
    <w:rsid w:val="00DD4DE2"/>
    <w:rsid w:val="00DD520D"/>
    <w:rsid w:val="00DF0164"/>
    <w:rsid w:val="00DF14A9"/>
    <w:rsid w:val="00DF54AA"/>
    <w:rsid w:val="00DF5561"/>
    <w:rsid w:val="00E027B5"/>
    <w:rsid w:val="00E07D33"/>
    <w:rsid w:val="00E12909"/>
    <w:rsid w:val="00E12DDE"/>
    <w:rsid w:val="00E143B6"/>
    <w:rsid w:val="00E30CFF"/>
    <w:rsid w:val="00E34575"/>
    <w:rsid w:val="00E35A94"/>
    <w:rsid w:val="00E55186"/>
    <w:rsid w:val="00E5658D"/>
    <w:rsid w:val="00E615F1"/>
    <w:rsid w:val="00E63146"/>
    <w:rsid w:val="00E64A1D"/>
    <w:rsid w:val="00E74920"/>
    <w:rsid w:val="00E81EE5"/>
    <w:rsid w:val="00E91F21"/>
    <w:rsid w:val="00E94781"/>
    <w:rsid w:val="00EA11AE"/>
    <w:rsid w:val="00EA35F8"/>
    <w:rsid w:val="00EA4BAC"/>
    <w:rsid w:val="00EB6956"/>
    <w:rsid w:val="00EC6CE3"/>
    <w:rsid w:val="00EE6672"/>
    <w:rsid w:val="00EF0D22"/>
    <w:rsid w:val="00EF2B93"/>
    <w:rsid w:val="00F13C69"/>
    <w:rsid w:val="00F30FE2"/>
    <w:rsid w:val="00F41DF6"/>
    <w:rsid w:val="00F52245"/>
    <w:rsid w:val="00F5569F"/>
    <w:rsid w:val="00F60308"/>
    <w:rsid w:val="00F640D0"/>
    <w:rsid w:val="00F75389"/>
    <w:rsid w:val="00F903E8"/>
    <w:rsid w:val="00FA0C8C"/>
    <w:rsid w:val="00FB4F49"/>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128751-A387-4833-B03F-C3DEAC01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3</TotalTime>
  <Pages>2</Pages>
  <Words>373</Words>
  <Characters>2106</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4</cp:revision>
  <cp:lastPrinted>2020-02-28T17:24:00Z</cp:lastPrinted>
  <dcterms:created xsi:type="dcterms:W3CDTF">2026-05-21T19:14:00Z</dcterms:created>
  <dcterms:modified xsi:type="dcterms:W3CDTF">2026-06-04T16:52:00Z</dcterms:modified>
</cp:coreProperties>
</file>