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224" w:rsidRPr="00A66A9D" w:rsidRDefault="00D21224" w:rsidP="00A66A9D">
      <w:pPr>
        <w:pStyle w:val="normal0"/>
        <w:jc w:val="center"/>
        <w:rPr>
          <w:b/>
          <w:bCs/>
        </w:rPr>
      </w:pPr>
      <w:r w:rsidRPr="00A66A9D">
        <w:rPr>
          <w:b/>
          <w:bCs/>
        </w:rPr>
        <w:t>EXPEDIENTE Nro 774-D-2026</w:t>
      </w:r>
    </w:p>
    <w:p w:rsidR="00D21224" w:rsidRPr="00A66A9D" w:rsidRDefault="00D21224" w:rsidP="00A66A9D">
      <w:pPr>
        <w:pStyle w:val="normal0"/>
      </w:pPr>
    </w:p>
    <w:p w:rsidR="00D21224" w:rsidRPr="00A66A9D" w:rsidRDefault="00D21224" w:rsidP="00A66A9D">
      <w:pPr>
        <w:pStyle w:val="normal0"/>
      </w:pPr>
    </w:p>
    <w:p w:rsidR="00D21224" w:rsidRPr="00A66A9D" w:rsidRDefault="00D21224" w:rsidP="00A66A9D">
      <w:pPr>
        <w:pStyle w:val="normal0"/>
      </w:pPr>
      <w:r w:rsidRPr="00A66A9D">
        <w:t>Legislatura de la Ciudad Autónoma de Buenos Aires</w:t>
      </w:r>
    </w:p>
    <w:p w:rsidR="00D21224" w:rsidRPr="00A66A9D" w:rsidRDefault="00D21224" w:rsidP="00A66A9D">
      <w:pPr>
        <w:pStyle w:val="normal0"/>
      </w:pPr>
    </w:p>
    <w:p w:rsidR="00D21224" w:rsidRPr="00A66A9D" w:rsidRDefault="00D21224" w:rsidP="00A66A9D">
      <w:pPr>
        <w:pStyle w:val="normal0"/>
        <w:rPr>
          <w:b/>
          <w:bCs/>
        </w:rPr>
      </w:pPr>
      <w:r w:rsidRPr="00A66A9D">
        <w:rPr>
          <w:b/>
          <w:bCs/>
        </w:rPr>
        <w:t>Visto:</w:t>
      </w:r>
    </w:p>
    <w:p w:rsidR="00D21224" w:rsidRPr="00A66A9D" w:rsidRDefault="00D21224" w:rsidP="00A66A9D">
      <w:pPr>
        <w:pStyle w:val="normal0"/>
      </w:pPr>
    </w:p>
    <w:p w:rsidR="00D21224" w:rsidRPr="00A66A9D" w:rsidRDefault="00D21224" w:rsidP="00A66A9D">
      <w:pPr>
        <w:pStyle w:val="normal0"/>
      </w:pPr>
      <w:r w:rsidRPr="00A66A9D">
        <w:tab/>
        <w:t>El Expediente Nro. 774-D-2026, autoría de los diputados Pakgojz, Fernández, Fleitas, Freguia, Imas, Kienast, Ramirez, Rey y Vartabedian, en el cual solicita la modificación de la Carta Orgánica del Banco de la Ciudad y,</w:t>
      </w:r>
    </w:p>
    <w:p w:rsidR="00D21224" w:rsidRPr="00A66A9D" w:rsidRDefault="00D21224" w:rsidP="00A66A9D">
      <w:pPr>
        <w:pStyle w:val="normal0"/>
        <w:rPr>
          <w:b/>
          <w:bCs/>
        </w:rPr>
      </w:pPr>
    </w:p>
    <w:p w:rsidR="00D21224" w:rsidRPr="00A66A9D" w:rsidRDefault="00D21224" w:rsidP="00A66A9D">
      <w:pPr>
        <w:pStyle w:val="normal0"/>
        <w:rPr>
          <w:b/>
          <w:bCs/>
        </w:rPr>
      </w:pPr>
      <w:r w:rsidRPr="00A66A9D">
        <w:rPr>
          <w:b/>
          <w:bCs/>
        </w:rPr>
        <w:t>Considerando:</w:t>
      </w:r>
    </w:p>
    <w:p w:rsidR="00D21224" w:rsidRPr="00A66A9D" w:rsidRDefault="00D21224" w:rsidP="00A66A9D">
      <w:pPr>
        <w:pStyle w:val="normal0"/>
      </w:pPr>
    </w:p>
    <w:p w:rsidR="00D21224" w:rsidRPr="00A66A9D" w:rsidRDefault="00D21224" w:rsidP="00A66A9D">
      <w:pPr>
        <w:pStyle w:val="normal0"/>
      </w:pPr>
      <w:r w:rsidRPr="00A66A9D">
        <w:tab/>
        <w:t>Que el proyecto en análisis propone modificar el inciso "d" del art 45 de la Ley 1779, -Carta Orgánica del Banco Ciudad- .</w:t>
      </w:r>
    </w:p>
    <w:p w:rsidR="00D21224" w:rsidRPr="00A66A9D" w:rsidRDefault="00D21224" w:rsidP="00A66A9D">
      <w:pPr>
        <w:pStyle w:val="normal0"/>
      </w:pPr>
    </w:p>
    <w:p w:rsidR="00D21224" w:rsidRPr="00A66A9D" w:rsidRDefault="00D21224" w:rsidP="00A66A9D">
      <w:pPr>
        <w:pStyle w:val="normal0"/>
      </w:pPr>
      <w:r w:rsidRPr="00A66A9D">
        <w:tab/>
        <w:t xml:space="preserve">Que el citado artículo expresa :  "Artículo 45.- Las utilidades netas que resulten al cierre del ejercicio, se destinan: </w:t>
      </w:r>
    </w:p>
    <w:p w:rsidR="00D21224" w:rsidRPr="00A66A9D" w:rsidRDefault="00D21224" w:rsidP="00A66A9D">
      <w:pPr>
        <w:pStyle w:val="normal0"/>
      </w:pPr>
      <w:r w:rsidRPr="00A66A9D">
        <w:t xml:space="preserve">a) Al fondo de reserva legal, según el porcentaje que fije la autoridad competente. </w:t>
      </w:r>
    </w:p>
    <w:p w:rsidR="00D21224" w:rsidRPr="00A66A9D" w:rsidRDefault="00D21224" w:rsidP="00A66A9D">
      <w:pPr>
        <w:pStyle w:val="normal0"/>
      </w:pPr>
      <w:r w:rsidRPr="00A66A9D">
        <w:t xml:space="preserve">b) A las donaciones que efectúa el Banco y al aporte anual para la fundación, en los términos y con los alcances del artículo 9°. </w:t>
      </w:r>
    </w:p>
    <w:p w:rsidR="00D21224" w:rsidRPr="00A66A9D" w:rsidRDefault="00D21224" w:rsidP="00A66A9D">
      <w:pPr>
        <w:pStyle w:val="normal0"/>
      </w:pPr>
      <w:r w:rsidRPr="00A66A9D">
        <w:t xml:space="preserve">c) A aumentar el capital, en cumplimiento del marco normativo que en la materia establece el Banco Central de la República Argentina; </w:t>
      </w:r>
    </w:p>
    <w:p w:rsidR="00D21224" w:rsidRPr="00A66A9D" w:rsidRDefault="00D21224" w:rsidP="00A66A9D">
      <w:pPr>
        <w:pStyle w:val="normal0"/>
      </w:pPr>
      <w:r w:rsidRPr="00A66A9D">
        <w:t xml:space="preserve">d) Del remanente, la parte que supere la necesaria para asegurar la preservación del patrimonio en valores constantes deberá ser distribuido al Gobierno de la Ciudad Autónoma de Buenos Aires y se destinará al financiamiento de obras nuevas con fines sociales y soluciones habitacionales. </w:t>
      </w:r>
    </w:p>
    <w:p w:rsidR="00D21224" w:rsidRPr="00A66A9D" w:rsidRDefault="00D21224" w:rsidP="00A66A9D">
      <w:pPr>
        <w:pStyle w:val="normal0"/>
      </w:pPr>
      <w:r w:rsidRPr="00A66A9D">
        <w:t>A propuesta del Directorio del Banco de la Ciudad de Buenos Aires, el Poder Ejecutivo podrá aprobar una reducción en el monto a distribuir para contemplar proyectos de inversión y crecimiento del Banco”.</w:t>
      </w:r>
    </w:p>
    <w:p w:rsidR="00D21224" w:rsidRPr="00A66A9D" w:rsidRDefault="00D21224" w:rsidP="00A66A9D">
      <w:pPr>
        <w:pStyle w:val="normal0"/>
      </w:pPr>
    </w:p>
    <w:p w:rsidR="00D21224" w:rsidRPr="00A66A9D" w:rsidRDefault="00D21224" w:rsidP="00A66A9D">
      <w:pPr>
        <w:pStyle w:val="normal0"/>
        <w:ind w:firstLine="708"/>
      </w:pPr>
      <w:r w:rsidRPr="00A66A9D">
        <w:t>Que el artículo 3° inc. d) de la Carta Orgánica establece  "facilitar el ingreso al crédito personal y familiar, y fomentar la adquisición, construcción y refacción de viviendas por intermedio del crédito hipotecario".</w:t>
      </w:r>
    </w:p>
    <w:p w:rsidR="00D21224" w:rsidRPr="00A66A9D" w:rsidRDefault="00D21224" w:rsidP="00A66A9D">
      <w:pPr>
        <w:pStyle w:val="normal0"/>
      </w:pPr>
    </w:p>
    <w:p w:rsidR="00D21224" w:rsidRPr="00A66A9D" w:rsidRDefault="00D21224" w:rsidP="00A66A9D">
      <w:pPr>
        <w:pStyle w:val="normal0"/>
        <w:ind w:firstLine="708"/>
      </w:pPr>
      <w:r w:rsidRPr="00A66A9D">
        <w:t xml:space="preserve">Que el acceso al crédito hipotecario constituye una herramienta relevante para promover el acceso a la vivienda y favorecer la inversión de largo plazo de las familias. </w:t>
      </w:r>
    </w:p>
    <w:p w:rsidR="00D21224" w:rsidRPr="00A66A9D" w:rsidRDefault="00D21224" w:rsidP="00A66A9D">
      <w:pPr>
        <w:pStyle w:val="normal0"/>
        <w:ind w:firstLine="708"/>
      </w:pPr>
    </w:p>
    <w:p w:rsidR="00D21224" w:rsidRPr="00A66A9D" w:rsidRDefault="00D21224" w:rsidP="00A66A9D">
      <w:pPr>
        <w:pStyle w:val="normal0"/>
        <w:ind w:firstLine="708"/>
      </w:pPr>
      <w:r w:rsidRPr="00A66A9D">
        <w:t>Que la afectación de una porción de las utilidades al financiamiento de líneas hipotecarias resulta consistente con dichos objetivos institucionales.</w:t>
      </w:r>
    </w:p>
    <w:p w:rsidR="00D21224" w:rsidRPr="00A66A9D" w:rsidRDefault="00D21224" w:rsidP="00A66A9D">
      <w:pPr>
        <w:pStyle w:val="normal0"/>
      </w:pPr>
    </w:p>
    <w:p w:rsidR="00D21224" w:rsidRPr="00A66A9D" w:rsidRDefault="00D21224" w:rsidP="00A66A9D">
      <w:pPr>
        <w:pStyle w:val="normal0"/>
        <w:ind w:firstLine="708"/>
      </w:pPr>
      <w:r w:rsidRPr="00A66A9D">
        <w:t>Que, en consecuencia, corresponde propiciar un esquema de distribución de utilidades que fortalezca las herramientas crediticias previstas en la propia Carta Orgánica del Banco.</w:t>
      </w:r>
    </w:p>
    <w:p w:rsidR="00D21224" w:rsidRPr="00A66A9D" w:rsidRDefault="00D21224" w:rsidP="00A66A9D">
      <w:pPr>
        <w:pStyle w:val="normal0"/>
        <w:ind w:firstLine="708"/>
      </w:pPr>
    </w:p>
    <w:p w:rsidR="00D21224" w:rsidRPr="00A66A9D" w:rsidRDefault="00D21224" w:rsidP="00A66A9D">
      <w:pPr>
        <w:pStyle w:val="normal0"/>
        <w:ind w:firstLine="708"/>
      </w:pPr>
      <w:r w:rsidRPr="00A66A9D">
        <w:t xml:space="preserve">Que el Banco de la Ciudad de Buenos Aires reviste el carácter de entidad autárquica de derecho público, cuyo único titular es el Gobierno de la Ciudad Autónoma de Buenos Aires. </w:t>
      </w:r>
    </w:p>
    <w:p w:rsidR="00D21224" w:rsidRPr="00A66A9D" w:rsidRDefault="00D21224" w:rsidP="00A66A9D">
      <w:pPr>
        <w:pStyle w:val="normal0"/>
      </w:pPr>
    </w:p>
    <w:p w:rsidR="00D21224" w:rsidRPr="00A66A9D" w:rsidRDefault="00D21224" w:rsidP="00A66A9D">
      <w:pPr>
        <w:pStyle w:val="normal0"/>
      </w:pPr>
      <w:r w:rsidRPr="00A66A9D">
        <w:tab/>
        <w:t>Por lo expuesto, esta Comisión de Presupuesto, Hacienda, Administración Financiera y Política Tributaria pone a consideración del Cuerpo la siguiente :</w:t>
      </w:r>
    </w:p>
    <w:p w:rsidR="00D21224" w:rsidRPr="00A66A9D" w:rsidRDefault="00D21224" w:rsidP="00A66A9D">
      <w:pPr>
        <w:pStyle w:val="normal0"/>
      </w:pPr>
    </w:p>
    <w:p w:rsidR="00D21224" w:rsidRPr="00A66A9D" w:rsidRDefault="00D21224" w:rsidP="00A66A9D">
      <w:pPr>
        <w:pStyle w:val="normal0"/>
      </w:pPr>
    </w:p>
    <w:p w:rsidR="00D21224" w:rsidRPr="00A66A9D" w:rsidRDefault="00D21224" w:rsidP="00A66A9D">
      <w:pPr>
        <w:pStyle w:val="normal0"/>
        <w:jc w:val="center"/>
        <w:rPr>
          <w:b/>
          <w:bCs/>
        </w:rPr>
      </w:pPr>
      <w:bookmarkStart w:id="0" w:name="bookmark=id.8sdxcwypdp34" w:colFirst="0" w:colLast="0"/>
      <w:bookmarkEnd w:id="0"/>
      <w:r w:rsidRPr="00A66A9D">
        <w:rPr>
          <w:b/>
          <w:bCs/>
        </w:rPr>
        <w:t>LEY</w:t>
      </w:r>
    </w:p>
    <w:p w:rsidR="00D21224" w:rsidRPr="00A66A9D" w:rsidRDefault="00D21224" w:rsidP="00A66A9D">
      <w:pPr>
        <w:pStyle w:val="normal0"/>
        <w:jc w:val="center"/>
        <w:rPr>
          <w:b/>
          <w:bCs/>
        </w:rPr>
      </w:pPr>
    </w:p>
    <w:p w:rsidR="00D21224" w:rsidRPr="00A66A9D" w:rsidRDefault="00D21224" w:rsidP="00A66A9D">
      <w:pPr>
        <w:pStyle w:val="normal0"/>
      </w:pPr>
      <w:r w:rsidRPr="00A66A9D">
        <w:rPr>
          <w:b/>
          <w:bCs/>
        </w:rPr>
        <w:t>Artículo 1º.-</w:t>
      </w:r>
      <w:r w:rsidRPr="00A66A9D">
        <w:t xml:space="preserve"> Se sustituye el artículo 45 de la Carta Orgánica del Banco Ciudad</w:t>
      </w:r>
      <w:r w:rsidR="00CA0559" w:rsidRPr="00A66A9D">
        <w:t xml:space="preserve"> </w:t>
      </w:r>
      <w:r w:rsidRPr="00A66A9D">
        <w:t xml:space="preserve">de Buenos Aires, Ley 1779 (texto consolidado por Ley N° 6.588) Carta Orgánica del Banco Ciudad de Buenos Aires, el que quedará redactado de la siguiente manera: </w:t>
      </w:r>
    </w:p>
    <w:p w:rsidR="00D21224" w:rsidRPr="00A66A9D" w:rsidRDefault="00D21224" w:rsidP="00A66A9D">
      <w:pPr>
        <w:pStyle w:val="normal0"/>
        <w:pBdr>
          <w:top w:val="nil"/>
          <w:left w:val="nil"/>
          <w:bottom w:val="nil"/>
          <w:right w:val="nil"/>
          <w:between w:val="nil"/>
        </w:pBdr>
      </w:pPr>
    </w:p>
    <w:p w:rsidR="00D21224" w:rsidRPr="00A66A9D" w:rsidRDefault="00D21224" w:rsidP="00A66A9D">
      <w:pPr>
        <w:pStyle w:val="normal0"/>
        <w:pBdr>
          <w:top w:val="nil"/>
          <w:left w:val="nil"/>
          <w:bottom w:val="nil"/>
          <w:right w:val="nil"/>
          <w:between w:val="nil"/>
        </w:pBdr>
      </w:pPr>
      <w:r w:rsidRPr="00A66A9D">
        <w:t>“Artículo 45.- Las utilidades netas que resulten al cierre del ejercicio, se destinan:</w:t>
      </w:r>
    </w:p>
    <w:p w:rsidR="00D21224" w:rsidRPr="00A66A9D" w:rsidRDefault="00D21224" w:rsidP="00A66A9D">
      <w:pPr>
        <w:pStyle w:val="normal0"/>
        <w:pBdr>
          <w:top w:val="nil"/>
          <w:left w:val="nil"/>
          <w:bottom w:val="nil"/>
          <w:right w:val="nil"/>
          <w:between w:val="nil"/>
        </w:pBdr>
      </w:pPr>
      <w:r w:rsidRPr="00A66A9D">
        <w:t>a. Al fondo de reserva legal, según el porcentaje que fije la autoridad competente</w:t>
      </w:r>
    </w:p>
    <w:p w:rsidR="00D21224" w:rsidRPr="00A66A9D" w:rsidRDefault="00D21224" w:rsidP="00A66A9D">
      <w:pPr>
        <w:pStyle w:val="normal0"/>
        <w:pBdr>
          <w:top w:val="nil"/>
          <w:left w:val="nil"/>
          <w:bottom w:val="nil"/>
          <w:right w:val="nil"/>
          <w:between w:val="nil"/>
        </w:pBdr>
      </w:pPr>
      <w:r w:rsidRPr="00A66A9D">
        <w:t>b. A las donaciones que efectúa el Banco y al aporte anual para la fundación, en los términos y con los alcances del artículo 9º</w:t>
      </w:r>
    </w:p>
    <w:p w:rsidR="00D21224" w:rsidRPr="00A66A9D" w:rsidRDefault="00D21224" w:rsidP="00A66A9D">
      <w:pPr>
        <w:pStyle w:val="normal0"/>
        <w:pBdr>
          <w:top w:val="nil"/>
          <w:left w:val="nil"/>
          <w:bottom w:val="nil"/>
          <w:right w:val="nil"/>
          <w:between w:val="nil"/>
        </w:pBdr>
      </w:pPr>
      <w:r w:rsidRPr="00A66A9D">
        <w:t>c. A aumentar el capital, en cumplimiento del marco normativo que en la materia establece el Banco Central de la República Argentina; y</w:t>
      </w:r>
    </w:p>
    <w:p w:rsidR="00D21224" w:rsidRPr="00A66A9D" w:rsidRDefault="00D21224" w:rsidP="00A66A9D">
      <w:pPr>
        <w:pStyle w:val="normal0"/>
        <w:pBdr>
          <w:top w:val="nil"/>
          <w:left w:val="nil"/>
          <w:bottom w:val="nil"/>
          <w:right w:val="nil"/>
          <w:between w:val="nil"/>
        </w:pBdr>
      </w:pPr>
      <w:r w:rsidRPr="00A66A9D">
        <w:t xml:space="preserve">d) Del remanente, la parte que supere la necesaria para asegurar la preservación del patrimonio en valores constantes deberá ser destinado por el Banco Ciudad al financiamiento de líneas hipotecarias y por el Gobierno de la Ciudad Autónoma de Buenos Aires a obras de infraestructura. Los montos que se destinen para las obras de infraestructura serán distribuidos al Gobierno de la Ciudad de Buenos Aires. El monto destinado a líneas hipotecarias nunca podrá ser menor al 25% del remanente establecido en este inciso. </w:t>
      </w:r>
    </w:p>
    <w:p w:rsidR="00D21224" w:rsidRPr="00A66A9D" w:rsidRDefault="00D21224" w:rsidP="00A66A9D">
      <w:pPr>
        <w:pStyle w:val="normal0"/>
        <w:pBdr>
          <w:top w:val="nil"/>
          <w:left w:val="nil"/>
          <w:bottom w:val="nil"/>
          <w:right w:val="nil"/>
          <w:between w:val="nil"/>
        </w:pBdr>
      </w:pPr>
      <w:r w:rsidRPr="00A66A9D">
        <w:t>A propuesta del Directorio del Banco de la Ciudad de Buenos Aires, el Poder Ejecutivo podrá aprobar una reducción en el monto a distribuir para contemplar proyectos de inversión y crecimiento del Banco”.</w:t>
      </w:r>
    </w:p>
    <w:p w:rsidR="00D21224" w:rsidRPr="00A66A9D" w:rsidRDefault="00D21224" w:rsidP="00A66A9D">
      <w:pPr>
        <w:pStyle w:val="normal0"/>
        <w:pBdr>
          <w:top w:val="nil"/>
          <w:left w:val="nil"/>
          <w:bottom w:val="nil"/>
          <w:right w:val="nil"/>
          <w:between w:val="nil"/>
        </w:pBdr>
      </w:pPr>
    </w:p>
    <w:p w:rsidR="00D21224" w:rsidRPr="00A66A9D" w:rsidRDefault="00D21224" w:rsidP="00A66A9D">
      <w:pPr>
        <w:pStyle w:val="normal0"/>
      </w:pPr>
    </w:p>
    <w:p w:rsidR="00D21224" w:rsidRPr="00A66A9D" w:rsidRDefault="00D21224" w:rsidP="00A66A9D">
      <w:pPr>
        <w:pStyle w:val="normal0"/>
      </w:pPr>
      <w:r w:rsidRPr="00A66A9D">
        <w:rPr>
          <w:b/>
          <w:bCs/>
        </w:rPr>
        <w:t>Artículo 2°.-</w:t>
      </w:r>
      <w:r w:rsidRPr="00A66A9D">
        <w:t xml:space="preserve"> Comuníquese, etc..</w:t>
      </w:r>
    </w:p>
    <w:p w:rsidR="00D21224" w:rsidRPr="00A66A9D" w:rsidRDefault="00D21224" w:rsidP="00A66A9D">
      <w:pPr>
        <w:pStyle w:val="normal0"/>
      </w:pPr>
    </w:p>
    <w:p w:rsidR="00D21224" w:rsidRPr="00A66A9D" w:rsidRDefault="00D21224" w:rsidP="00A66A9D">
      <w:pPr>
        <w:pStyle w:val="normal0"/>
      </w:pPr>
      <w:r w:rsidRPr="00A66A9D">
        <w:t xml:space="preserve">Sala de la Comisión, </w:t>
      </w:r>
    </w:p>
    <w:p w:rsidR="00D21224" w:rsidRPr="00A66A9D" w:rsidRDefault="00D21224" w:rsidP="00A66A9D">
      <w:pPr>
        <w:pStyle w:val="normal0"/>
      </w:pPr>
    </w:p>
    <w:tbl>
      <w:tblPr>
        <w:tblW w:w="8696"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tblPr>
      <w:tblGrid>
        <w:gridCol w:w="4348"/>
        <w:gridCol w:w="4348"/>
      </w:tblGrid>
      <w:tr w:rsidR="00D21224" w:rsidRPr="00A66A9D" w:rsidTr="00DE5F2D">
        <w:trPr>
          <w:trHeight w:val="1602"/>
        </w:trPr>
        <w:tc>
          <w:tcPr>
            <w:tcW w:w="4348" w:type="dxa"/>
            <w:tcBorders>
              <w:bottom w:val="single" w:sz="4" w:space="0" w:color="FFFFFF"/>
            </w:tcBorders>
            <w:vAlign w:val="bottom"/>
          </w:tcPr>
          <w:p w:rsidR="00D21224" w:rsidRPr="00A66A9D" w:rsidRDefault="00D21224" w:rsidP="00A66A9D">
            <w:pPr>
              <w:pStyle w:val="normal0"/>
              <w:jc w:val="center"/>
            </w:pPr>
          </w:p>
        </w:tc>
        <w:tc>
          <w:tcPr>
            <w:tcW w:w="4348" w:type="dxa"/>
            <w:tcBorders>
              <w:bottom w:val="single" w:sz="4" w:space="0" w:color="FFFFFF"/>
            </w:tcBorders>
            <w:vAlign w:val="bottom"/>
          </w:tcPr>
          <w:p w:rsidR="00D21224" w:rsidRPr="00A66A9D" w:rsidRDefault="00D21224" w:rsidP="00A66A9D">
            <w:pPr>
              <w:pStyle w:val="normal0"/>
              <w:jc w:val="center"/>
            </w:pPr>
            <w:r w:rsidRPr="00A66A9D">
              <w:t>WALDO WOLFF</w:t>
            </w:r>
          </w:p>
          <w:p w:rsidR="00D21224" w:rsidRPr="00A66A9D" w:rsidRDefault="00D21224" w:rsidP="00A66A9D">
            <w:pPr>
              <w:pStyle w:val="normal0"/>
              <w:jc w:val="center"/>
            </w:pPr>
            <w:r w:rsidRPr="00A66A9D">
              <w:t>PRESIDENTE</w:t>
            </w:r>
          </w:p>
        </w:tc>
      </w:tr>
      <w:tr w:rsidR="00D21224" w:rsidRPr="00A66A9D" w:rsidTr="00DE5F2D">
        <w:trPr>
          <w:trHeight w:val="1985"/>
        </w:trPr>
        <w:tc>
          <w:tcPr>
            <w:tcW w:w="4348" w:type="dxa"/>
            <w:tcBorders>
              <w:top w:val="single" w:sz="4"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pPr>
            <w:r w:rsidRPr="00A66A9D">
              <w:t xml:space="preserve">               CLAUDIA  NEIRA</w:t>
            </w:r>
          </w:p>
          <w:p w:rsidR="00D21224" w:rsidRPr="00A66A9D" w:rsidRDefault="00D21224" w:rsidP="00A66A9D">
            <w:pPr>
              <w:pStyle w:val="normal0"/>
            </w:pPr>
            <w:r w:rsidRPr="00A66A9D">
              <w:t xml:space="preserve">                 Vicepresidenta 1º</w:t>
            </w:r>
          </w:p>
        </w:tc>
        <w:tc>
          <w:tcPr>
            <w:tcW w:w="4348" w:type="dxa"/>
            <w:tcBorders>
              <w:top w:val="single" w:sz="4"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 xml:space="preserve">NICOLAS PAKGOJZ </w:t>
            </w:r>
          </w:p>
          <w:p w:rsidR="00D21224" w:rsidRPr="00A66A9D" w:rsidRDefault="00D21224" w:rsidP="00A66A9D">
            <w:pPr>
              <w:pStyle w:val="normal0"/>
              <w:jc w:val="center"/>
            </w:pPr>
            <w:r w:rsidRPr="00A66A9D">
              <w:t>Vicepresidente 2º</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JUAN PABLO ARENAZA</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MATÍAS BARROETAVEÑA</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MARÍA BIELLI</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FRANCISCO CAPORICCIO</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EUGENIO CASIELLES</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PABLO ALEJANDRO DONATI</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lastRenderedPageBreak/>
              <w:t>EMMANUEL FERRARIO</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BERENICE IAÑEZ</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MATÍAS LAMMENS</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MATÍAS DAMIÁN LOPEZ</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FRANCISCO LOUPIAS</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JUAN PABLO MODARELLI</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SEBASTIAN NAGATA</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CLAUDIA NEGRI</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IGNACIO JOSÉ PARERA</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SOLANA PELAYO</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MARÍA DEL PILAR RAMIREZ</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SERGIO SICILIANO</w:t>
            </w:r>
          </w:p>
        </w:tc>
      </w:tr>
      <w:tr w:rsidR="00D21224" w:rsidRPr="00A66A9D" w:rsidTr="00DE5F2D">
        <w:trPr>
          <w:trHeight w:val="1985"/>
        </w:trPr>
        <w:tc>
          <w:tcPr>
            <w:tcW w:w="4348" w:type="dxa"/>
            <w:tcBorders>
              <w:top w:val="single" w:sz="6" w:space="0" w:color="FFFFFF"/>
              <w:left w:val="single" w:sz="4" w:space="0" w:color="FFFFFF"/>
              <w:bottom w:val="single" w:sz="6" w:space="0" w:color="FFFFFF"/>
              <w:right w:val="single" w:sz="6" w:space="0" w:color="FFFFFF"/>
            </w:tcBorders>
            <w:vAlign w:val="bottom"/>
          </w:tcPr>
          <w:p w:rsidR="00D21224" w:rsidRPr="00A66A9D" w:rsidRDefault="00D21224" w:rsidP="00A66A9D">
            <w:pPr>
              <w:pStyle w:val="normal0"/>
              <w:jc w:val="center"/>
            </w:pPr>
            <w:r w:rsidRPr="00A66A9D">
              <w:t>MANUELA THOURTE</w:t>
            </w:r>
          </w:p>
        </w:tc>
        <w:tc>
          <w:tcPr>
            <w:tcW w:w="4348" w:type="dxa"/>
            <w:tcBorders>
              <w:top w:val="single" w:sz="6" w:space="0" w:color="FFFFFF"/>
              <w:left w:val="single" w:sz="6" w:space="0" w:color="FFFFFF"/>
              <w:bottom w:val="single" w:sz="6" w:space="0" w:color="FFFFFF"/>
              <w:right w:val="single" w:sz="4" w:space="0" w:color="FFFFFF"/>
            </w:tcBorders>
            <w:vAlign w:val="bottom"/>
          </w:tcPr>
          <w:p w:rsidR="00D21224" w:rsidRPr="00A66A9D" w:rsidRDefault="00D21224" w:rsidP="00A66A9D">
            <w:pPr>
              <w:pStyle w:val="normal0"/>
              <w:jc w:val="center"/>
            </w:pPr>
            <w:r w:rsidRPr="00A66A9D">
              <w:t>DIEGO VARTABEDIAN</w:t>
            </w:r>
          </w:p>
        </w:tc>
      </w:tr>
    </w:tbl>
    <w:p w:rsidR="00D21224" w:rsidRPr="00A66A9D" w:rsidRDefault="00D21224" w:rsidP="00A66A9D">
      <w:pPr>
        <w:pStyle w:val="normal0"/>
      </w:pPr>
    </w:p>
    <w:p w:rsidR="00625C99" w:rsidRPr="00A66A9D" w:rsidRDefault="00625C99" w:rsidP="00A66A9D">
      <w:pPr>
        <w:rPr>
          <w:lang w:val="es-MX"/>
        </w:rPr>
      </w:pPr>
    </w:p>
    <w:sectPr w:rsidR="00625C99" w:rsidRPr="00A66A9D" w:rsidSect="006A4246">
      <w:headerReference w:type="default" r:id="rId7"/>
      <w:footerReference w:type="default" r:id="rId8"/>
      <w:pgSz w:w="12242" w:h="20163" w:code="5"/>
      <w:pgMar w:top="2268" w:right="1134" w:bottom="1418" w:left="25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879" w:rsidRDefault="00455879">
      <w:r>
        <w:separator/>
      </w:r>
    </w:p>
  </w:endnote>
  <w:endnote w:type="continuationSeparator" w:id="0">
    <w:p w:rsidR="00455879" w:rsidRDefault="0045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021E9" w:rsidRDefault="00601A75">
    <w:pPr>
      <w:pStyle w:val="Piedepgina"/>
      <w:rPr>
        <w:color w:val="333333"/>
        <w:sz w:val="20"/>
      </w:rPr>
    </w:pPr>
    <w:bookmarkStart w:id="1" w:name="Despacho"/>
    <w:bookmarkEnd w:id="1"/>
  </w:p>
  <w:p w:rsidR="00601A75" w:rsidRPr="00C021E9" w:rsidRDefault="00601A75">
    <w:pPr>
      <w:pStyle w:val="Piedepgina"/>
      <w:rPr>
        <w:color w:val="333333"/>
        <w:sz w:val="20"/>
      </w:rPr>
    </w:pPr>
    <w:r w:rsidRPr="00C021E9">
      <w:rPr>
        <w:color w:val="333333"/>
        <w:sz w:val="20"/>
      </w:rPr>
      <w:t xml:space="preserve">Último cambio: </w:t>
    </w:r>
    <w:fldSimple w:instr=" SAVEDATE  \* MERGEFORMAT ">
      <w:r w:rsidR="00C021E9" w:rsidRPr="00C021E9">
        <w:rPr>
          <w:noProof/>
          <w:color w:val="333333"/>
          <w:sz w:val="20"/>
        </w:rPr>
        <w:t>16/06/2026 10:54:00</w:t>
      </w:r>
    </w:fldSimple>
    <w:r w:rsidRPr="00C021E9">
      <w:rPr>
        <w:color w:val="333333"/>
        <w:sz w:val="20"/>
      </w:rPr>
      <w:t xml:space="preserve">  -  Cantidad de caracteres: </w:t>
    </w:r>
    <w:fldSimple w:instr=" NUMCHARS  \* MERGEFORMAT ">
      <w:r w:rsidR="00C021E9" w:rsidRPr="00C021E9">
        <w:rPr>
          <w:noProof/>
          <w:color w:val="333333"/>
          <w:sz w:val="20"/>
        </w:rPr>
        <w:t>3668</w:t>
      </w:r>
    </w:fldSimple>
    <w:r w:rsidRPr="00C021E9">
      <w:rPr>
        <w:color w:val="333333"/>
        <w:sz w:val="20"/>
      </w:rPr>
      <w:t xml:space="preserve"> - Cantidad de palabras: </w:t>
    </w:r>
    <w:fldSimple w:instr=" NUMWORDS  \* MERGEFORMAT ">
      <w:r w:rsidR="00C021E9" w:rsidRPr="00C021E9">
        <w:rPr>
          <w:noProof/>
          <w:color w:val="333333"/>
          <w:sz w:val="20"/>
        </w:rPr>
        <w:t>682</w:t>
      </w:r>
    </w:fldSimple>
  </w:p>
  <w:p w:rsidR="00601A75" w:rsidRPr="00C021E9" w:rsidRDefault="00601A75" w:rsidP="00B05649">
    <w:pPr>
      <w:pStyle w:val="Piedepgina"/>
      <w:tabs>
        <w:tab w:val="left" w:pos="3565"/>
      </w:tabs>
      <w:rPr>
        <w:rStyle w:val="Nmerodepgina"/>
        <w:color w:val="333333"/>
      </w:rPr>
    </w:pPr>
    <w:r w:rsidRPr="00C021E9">
      <w:rPr>
        <w:color w:val="333333"/>
        <w:sz w:val="20"/>
      </w:rPr>
      <w:tab/>
      <w:t>Pág.</w:t>
    </w:r>
    <w:r w:rsidRPr="00C021E9">
      <w:rPr>
        <w:color w:val="333333"/>
      </w:rPr>
      <w:t xml:space="preserve"> </w:t>
    </w:r>
    <w:r w:rsidR="001E7B67" w:rsidRPr="00C021E9">
      <w:rPr>
        <w:rStyle w:val="Nmerodepgina"/>
        <w:color w:val="333333"/>
      </w:rPr>
      <w:fldChar w:fldCharType="begin"/>
    </w:r>
    <w:r w:rsidRPr="00C021E9">
      <w:rPr>
        <w:rStyle w:val="Nmerodepgina"/>
        <w:color w:val="333333"/>
      </w:rPr>
      <w:instrText xml:space="preserve"> PAGE </w:instrText>
    </w:r>
    <w:r w:rsidR="001E7B67" w:rsidRPr="00C021E9">
      <w:rPr>
        <w:rStyle w:val="Nmerodepgina"/>
        <w:color w:val="333333"/>
      </w:rPr>
      <w:fldChar w:fldCharType="separate"/>
    </w:r>
    <w:r w:rsidR="00C021E9" w:rsidRPr="00C021E9">
      <w:rPr>
        <w:rStyle w:val="Nmerodepgina"/>
        <w:noProof/>
        <w:color w:val="333333"/>
      </w:rPr>
      <w:t>3</w:t>
    </w:r>
    <w:r w:rsidR="001E7B67" w:rsidRPr="00C021E9">
      <w:rPr>
        <w:rStyle w:val="Nmerodepgina"/>
        <w:color w:val="333333"/>
      </w:rPr>
      <w:fldChar w:fldCharType="end"/>
    </w:r>
    <w:r w:rsidRPr="00C021E9">
      <w:rPr>
        <w:rStyle w:val="Nmerodepgina"/>
        <w:color w:val="333333"/>
      </w:rPr>
      <w:t>/</w:t>
    </w:r>
    <w:fldSimple w:instr=" NUMPAGES  \* MERGEFORMAT ">
      <w:r w:rsidR="00C021E9" w:rsidRPr="00C021E9">
        <w:rPr>
          <w:rStyle w:val="Nmerodepgina"/>
          <w:noProof/>
          <w:color w:val="333333"/>
        </w:rPr>
        <w:t>3</w:t>
      </w:r>
    </w:fldSimple>
    <w:r w:rsidRPr="00C021E9">
      <w:rPr>
        <w:rStyle w:val="Nmerodepgina"/>
        <w:color w:val="333333"/>
      </w:rPr>
      <w:t xml:space="preserve"> </w:t>
    </w:r>
  </w:p>
  <w:p w:rsidR="00601A75" w:rsidRPr="00C021E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879" w:rsidRDefault="00455879">
      <w:r>
        <w:separator/>
      </w:r>
    </w:p>
  </w:footnote>
  <w:footnote w:type="continuationSeparator" w:id="0">
    <w:p w:rsidR="00455879" w:rsidRDefault="004558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25C99"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rsids>
    <w:rsidRoot w:val="0075356C"/>
    <w:rsid w:val="00000D04"/>
    <w:rsid w:val="00001988"/>
    <w:rsid w:val="000031F8"/>
    <w:rsid w:val="00026430"/>
    <w:rsid w:val="00030DF5"/>
    <w:rsid w:val="0003615C"/>
    <w:rsid w:val="000376AB"/>
    <w:rsid w:val="0004175F"/>
    <w:rsid w:val="00043882"/>
    <w:rsid w:val="00051770"/>
    <w:rsid w:val="00062864"/>
    <w:rsid w:val="00067370"/>
    <w:rsid w:val="000713D7"/>
    <w:rsid w:val="00071CFB"/>
    <w:rsid w:val="00077DAC"/>
    <w:rsid w:val="00080837"/>
    <w:rsid w:val="00081FFF"/>
    <w:rsid w:val="00085D07"/>
    <w:rsid w:val="000A2A80"/>
    <w:rsid w:val="000B2290"/>
    <w:rsid w:val="000C0C0B"/>
    <w:rsid w:val="000D1497"/>
    <w:rsid w:val="000D2860"/>
    <w:rsid w:val="000D6C54"/>
    <w:rsid w:val="000E3949"/>
    <w:rsid w:val="000E4ECE"/>
    <w:rsid w:val="000F74CB"/>
    <w:rsid w:val="000F7E30"/>
    <w:rsid w:val="00103C6B"/>
    <w:rsid w:val="00104335"/>
    <w:rsid w:val="00121587"/>
    <w:rsid w:val="00127D10"/>
    <w:rsid w:val="001321CE"/>
    <w:rsid w:val="00136787"/>
    <w:rsid w:val="00145948"/>
    <w:rsid w:val="00155C7C"/>
    <w:rsid w:val="00160A2A"/>
    <w:rsid w:val="001614A7"/>
    <w:rsid w:val="0019414B"/>
    <w:rsid w:val="00197D09"/>
    <w:rsid w:val="001A7219"/>
    <w:rsid w:val="001B0CF3"/>
    <w:rsid w:val="001B770D"/>
    <w:rsid w:val="001C18CC"/>
    <w:rsid w:val="001C5221"/>
    <w:rsid w:val="001D480C"/>
    <w:rsid w:val="001E5394"/>
    <w:rsid w:val="001E7B67"/>
    <w:rsid w:val="001F2924"/>
    <w:rsid w:val="001F3AFD"/>
    <w:rsid w:val="00200A01"/>
    <w:rsid w:val="00205802"/>
    <w:rsid w:val="00205DAD"/>
    <w:rsid w:val="00223436"/>
    <w:rsid w:val="00226627"/>
    <w:rsid w:val="002327DE"/>
    <w:rsid w:val="00246DF0"/>
    <w:rsid w:val="0025110D"/>
    <w:rsid w:val="0026220D"/>
    <w:rsid w:val="0026496E"/>
    <w:rsid w:val="00265972"/>
    <w:rsid w:val="002727BD"/>
    <w:rsid w:val="00275865"/>
    <w:rsid w:val="00276A7E"/>
    <w:rsid w:val="00296815"/>
    <w:rsid w:val="002971A4"/>
    <w:rsid w:val="002B47D0"/>
    <w:rsid w:val="002C768C"/>
    <w:rsid w:val="002D05E9"/>
    <w:rsid w:val="002D533A"/>
    <w:rsid w:val="002D778C"/>
    <w:rsid w:val="002E38C3"/>
    <w:rsid w:val="002E6090"/>
    <w:rsid w:val="002F7961"/>
    <w:rsid w:val="00302300"/>
    <w:rsid w:val="00305DD1"/>
    <w:rsid w:val="00306B52"/>
    <w:rsid w:val="003145ED"/>
    <w:rsid w:val="00315C77"/>
    <w:rsid w:val="00320B51"/>
    <w:rsid w:val="0033168A"/>
    <w:rsid w:val="00335CD9"/>
    <w:rsid w:val="00340F54"/>
    <w:rsid w:val="00341558"/>
    <w:rsid w:val="0035681D"/>
    <w:rsid w:val="0039607C"/>
    <w:rsid w:val="00396693"/>
    <w:rsid w:val="003A7311"/>
    <w:rsid w:val="003B471C"/>
    <w:rsid w:val="003C0791"/>
    <w:rsid w:val="003C1F4B"/>
    <w:rsid w:val="003D10AB"/>
    <w:rsid w:val="003D4000"/>
    <w:rsid w:val="003F1EFD"/>
    <w:rsid w:val="003F4249"/>
    <w:rsid w:val="00401C75"/>
    <w:rsid w:val="0040761B"/>
    <w:rsid w:val="00422C3F"/>
    <w:rsid w:val="004354AC"/>
    <w:rsid w:val="00446E1A"/>
    <w:rsid w:val="00455879"/>
    <w:rsid w:val="0047134F"/>
    <w:rsid w:val="004847CA"/>
    <w:rsid w:val="004900CE"/>
    <w:rsid w:val="004914DD"/>
    <w:rsid w:val="004B04F0"/>
    <w:rsid w:val="004B7714"/>
    <w:rsid w:val="004D2D62"/>
    <w:rsid w:val="004D30D5"/>
    <w:rsid w:val="004D438B"/>
    <w:rsid w:val="004E235F"/>
    <w:rsid w:val="0051012E"/>
    <w:rsid w:val="005142E6"/>
    <w:rsid w:val="00516857"/>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A5A43"/>
    <w:rsid w:val="005B0FAF"/>
    <w:rsid w:val="005B14CE"/>
    <w:rsid w:val="005B552A"/>
    <w:rsid w:val="005B6538"/>
    <w:rsid w:val="005C37AB"/>
    <w:rsid w:val="005F35E2"/>
    <w:rsid w:val="00601A75"/>
    <w:rsid w:val="00601FE9"/>
    <w:rsid w:val="00606C9D"/>
    <w:rsid w:val="00606D7C"/>
    <w:rsid w:val="00616F70"/>
    <w:rsid w:val="00622DE5"/>
    <w:rsid w:val="00625C99"/>
    <w:rsid w:val="00636BE0"/>
    <w:rsid w:val="0064080E"/>
    <w:rsid w:val="0064363E"/>
    <w:rsid w:val="006549F0"/>
    <w:rsid w:val="0065711B"/>
    <w:rsid w:val="0066331E"/>
    <w:rsid w:val="006811D6"/>
    <w:rsid w:val="00690392"/>
    <w:rsid w:val="00697F98"/>
    <w:rsid w:val="006A4246"/>
    <w:rsid w:val="006A6925"/>
    <w:rsid w:val="006A7B47"/>
    <w:rsid w:val="006B7FDE"/>
    <w:rsid w:val="006C2D59"/>
    <w:rsid w:val="006C326A"/>
    <w:rsid w:val="006C40E9"/>
    <w:rsid w:val="006D3303"/>
    <w:rsid w:val="006D5CB7"/>
    <w:rsid w:val="006E3675"/>
    <w:rsid w:val="00705135"/>
    <w:rsid w:val="00706B8E"/>
    <w:rsid w:val="00715AF3"/>
    <w:rsid w:val="00720C1E"/>
    <w:rsid w:val="00734F30"/>
    <w:rsid w:val="007410E7"/>
    <w:rsid w:val="007420D8"/>
    <w:rsid w:val="0075356C"/>
    <w:rsid w:val="00771B54"/>
    <w:rsid w:val="00772740"/>
    <w:rsid w:val="007728C1"/>
    <w:rsid w:val="00777916"/>
    <w:rsid w:val="00780167"/>
    <w:rsid w:val="0078473F"/>
    <w:rsid w:val="00793C20"/>
    <w:rsid w:val="00795E19"/>
    <w:rsid w:val="007B0FD7"/>
    <w:rsid w:val="007B3715"/>
    <w:rsid w:val="007B6B69"/>
    <w:rsid w:val="007B6DE7"/>
    <w:rsid w:val="007C0373"/>
    <w:rsid w:val="007C0CF9"/>
    <w:rsid w:val="007C641A"/>
    <w:rsid w:val="007D2169"/>
    <w:rsid w:val="007D2459"/>
    <w:rsid w:val="007E2AB2"/>
    <w:rsid w:val="007E3534"/>
    <w:rsid w:val="007E36D1"/>
    <w:rsid w:val="008019FD"/>
    <w:rsid w:val="008034F8"/>
    <w:rsid w:val="008117C1"/>
    <w:rsid w:val="00812683"/>
    <w:rsid w:val="00820A3A"/>
    <w:rsid w:val="00827228"/>
    <w:rsid w:val="008433E2"/>
    <w:rsid w:val="00846702"/>
    <w:rsid w:val="008553EB"/>
    <w:rsid w:val="0086333F"/>
    <w:rsid w:val="00870A2D"/>
    <w:rsid w:val="00872CC5"/>
    <w:rsid w:val="008814A3"/>
    <w:rsid w:val="008844BF"/>
    <w:rsid w:val="00885050"/>
    <w:rsid w:val="0088546A"/>
    <w:rsid w:val="00890C59"/>
    <w:rsid w:val="00890E2F"/>
    <w:rsid w:val="008938E5"/>
    <w:rsid w:val="008A7BC4"/>
    <w:rsid w:val="008B3E11"/>
    <w:rsid w:val="008B4536"/>
    <w:rsid w:val="008C400E"/>
    <w:rsid w:val="008C4AC3"/>
    <w:rsid w:val="00906685"/>
    <w:rsid w:val="00910E0F"/>
    <w:rsid w:val="0091690E"/>
    <w:rsid w:val="00943B76"/>
    <w:rsid w:val="00945B18"/>
    <w:rsid w:val="00947238"/>
    <w:rsid w:val="00955E00"/>
    <w:rsid w:val="009624FC"/>
    <w:rsid w:val="0096461D"/>
    <w:rsid w:val="0096596C"/>
    <w:rsid w:val="0098285D"/>
    <w:rsid w:val="009953AF"/>
    <w:rsid w:val="00996E34"/>
    <w:rsid w:val="009A6E2B"/>
    <w:rsid w:val="009B4FAC"/>
    <w:rsid w:val="009C20D3"/>
    <w:rsid w:val="009D2876"/>
    <w:rsid w:val="009D3819"/>
    <w:rsid w:val="009E5835"/>
    <w:rsid w:val="009F3EB7"/>
    <w:rsid w:val="009F4E01"/>
    <w:rsid w:val="009F720B"/>
    <w:rsid w:val="00A06A2B"/>
    <w:rsid w:val="00A07090"/>
    <w:rsid w:val="00A11AD7"/>
    <w:rsid w:val="00A1286B"/>
    <w:rsid w:val="00A240CA"/>
    <w:rsid w:val="00A37C1D"/>
    <w:rsid w:val="00A40D86"/>
    <w:rsid w:val="00A43208"/>
    <w:rsid w:val="00A47920"/>
    <w:rsid w:val="00A502EF"/>
    <w:rsid w:val="00A55E61"/>
    <w:rsid w:val="00A66804"/>
    <w:rsid w:val="00A66A9D"/>
    <w:rsid w:val="00A7500B"/>
    <w:rsid w:val="00A75EED"/>
    <w:rsid w:val="00A7779B"/>
    <w:rsid w:val="00A878E2"/>
    <w:rsid w:val="00A87C68"/>
    <w:rsid w:val="00A962A7"/>
    <w:rsid w:val="00AA08DB"/>
    <w:rsid w:val="00AA2FEA"/>
    <w:rsid w:val="00AA7C22"/>
    <w:rsid w:val="00AB0A73"/>
    <w:rsid w:val="00AB5EB2"/>
    <w:rsid w:val="00AC1286"/>
    <w:rsid w:val="00AC3839"/>
    <w:rsid w:val="00AE2E8F"/>
    <w:rsid w:val="00AE4FE5"/>
    <w:rsid w:val="00AF5760"/>
    <w:rsid w:val="00AF6352"/>
    <w:rsid w:val="00B05649"/>
    <w:rsid w:val="00B13247"/>
    <w:rsid w:val="00B1723C"/>
    <w:rsid w:val="00B177FE"/>
    <w:rsid w:val="00B264C1"/>
    <w:rsid w:val="00B31B65"/>
    <w:rsid w:val="00B36178"/>
    <w:rsid w:val="00B4532F"/>
    <w:rsid w:val="00B46232"/>
    <w:rsid w:val="00B56DCD"/>
    <w:rsid w:val="00B85EE2"/>
    <w:rsid w:val="00B876E2"/>
    <w:rsid w:val="00B87EAF"/>
    <w:rsid w:val="00BD24E8"/>
    <w:rsid w:val="00BF2B7B"/>
    <w:rsid w:val="00BF71C2"/>
    <w:rsid w:val="00C021E9"/>
    <w:rsid w:val="00C26F53"/>
    <w:rsid w:val="00C330CB"/>
    <w:rsid w:val="00C3675D"/>
    <w:rsid w:val="00C419C1"/>
    <w:rsid w:val="00C51E49"/>
    <w:rsid w:val="00C521F9"/>
    <w:rsid w:val="00C6199C"/>
    <w:rsid w:val="00C63351"/>
    <w:rsid w:val="00C704AB"/>
    <w:rsid w:val="00C71253"/>
    <w:rsid w:val="00C734F9"/>
    <w:rsid w:val="00C84F89"/>
    <w:rsid w:val="00C87365"/>
    <w:rsid w:val="00C93FF6"/>
    <w:rsid w:val="00CA0559"/>
    <w:rsid w:val="00CC20B0"/>
    <w:rsid w:val="00CD3069"/>
    <w:rsid w:val="00CE163F"/>
    <w:rsid w:val="00CE2659"/>
    <w:rsid w:val="00CF1850"/>
    <w:rsid w:val="00CF5972"/>
    <w:rsid w:val="00D06BB2"/>
    <w:rsid w:val="00D21224"/>
    <w:rsid w:val="00D21279"/>
    <w:rsid w:val="00D23C57"/>
    <w:rsid w:val="00D43AA2"/>
    <w:rsid w:val="00D518DB"/>
    <w:rsid w:val="00D55ECB"/>
    <w:rsid w:val="00D67721"/>
    <w:rsid w:val="00D758CE"/>
    <w:rsid w:val="00D76A86"/>
    <w:rsid w:val="00D8220F"/>
    <w:rsid w:val="00D927D4"/>
    <w:rsid w:val="00DD2795"/>
    <w:rsid w:val="00DD4DE2"/>
    <w:rsid w:val="00DD520D"/>
    <w:rsid w:val="00DF0164"/>
    <w:rsid w:val="00DF1E72"/>
    <w:rsid w:val="00DF27EB"/>
    <w:rsid w:val="00DF54AA"/>
    <w:rsid w:val="00DF5FB5"/>
    <w:rsid w:val="00E07D33"/>
    <w:rsid w:val="00E121C9"/>
    <w:rsid w:val="00E121D6"/>
    <w:rsid w:val="00E12909"/>
    <w:rsid w:val="00E12DDE"/>
    <w:rsid w:val="00E143B6"/>
    <w:rsid w:val="00E30CFF"/>
    <w:rsid w:val="00E55186"/>
    <w:rsid w:val="00E615F1"/>
    <w:rsid w:val="00E63146"/>
    <w:rsid w:val="00E64A1D"/>
    <w:rsid w:val="00E74920"/>
    <w:rsid w:val="00E8136A"/>
    <w:rsid w:val="00E81EE5"/>
    <w:rsid w:val="00E91F21"/>
    <w:rsid w:val="00EA5378"/>
    <w:rsid w:val="00EB6956"/>
    <w:rsid w:val="00EB6ABD"/>
    <w:rsid w:val="00EF0D22"/>
    <w:rsid w:val="00F13C69"/>
    <w:rsid w:val="00F30C03"/>
    <w:rsid w:val="00F37C16"/>
    <w:rsid w:val="00F41DF6"/>
    <w:rsid w:val="00F50940"/>
    <w:rsid w:val="00F52245"/>
    <w:rsid w:val="00F5569F"/>
    <w:rsid w:val="00F60308"/>
    <w:rsid w:val="00F640D0"/>
    <w:rsid w:val="00F75389"/>
    <w:rsid w:val="00F903E8"/>
    <w:rsid w:val="00FA0C8C"/>
    <w:rsid w:val="00FA11CC"/>
    <w:rsid w:val="00FA39CD"/>
    <w:rsid w:val="00FA49E9"/>
    <w:rsid w:val="00FA4AB2"/>
    <w:rsid w:val="00FA6194"/>
    <w:rsid w:val="00FB26DA"/>
    <w:rsid w:val="00FD07F5"/>
    <w:rsid w:val="00FD46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09"/>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97D09"/>
    <w:pPr>
      <w:ind w:left="3686"/>
    </w:pPr>
  </w:style>
  <w:style w:type="paragraph" w:styleId="Encabezado">
    <w:name w:val="header"/>
    <w:basedOn w:val="Normal"/>
    <w:link w:val="EncabezadoCar"/>
    <w:uiPriority w:val="99"/>
    <w:rsid w:val="00197D09"/>
    <w:pPr>
      <w:tabs>
        <w:tab w:val="center" w:pos="4419"/>
        <w:tab w:val="right" w:pos="8838"/>
      </w:tabs>
    </w:pPr>
  </w:style>
  <w:style w:type="paragraph" w:styleId="Piedepgina">
    <w:name w:val="footer"/>
    <w:basedOn w:val="Normal"/>
    <w:rsid w:val="00197D09"/>
    <w:pPr>
      <w:tabs>
        <w:tab w:val="center" w:pos="4419"/>
        <w:tab w:val="right" w:pos="8838"/>
      </w:tabs>
    </w:pPr>
  </w:style>
  <w:style w:type="character" w:styleId="Nmerodepgina">
    <w:name w:val="page number"/>
    <w:basedOn w:val="Fuentedeprrafopredeter"/>
    <w:rsid w:val="00197D0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5356C"/>
    <w:rPr>
      <w:rFonts w:ascii="Tahoma" w:hAnsi="Tahoma" w:cs="Tahoma"/>
      <w:sz w:val="16"/>
      <w:szCs w:val="16"/>
    </w:rPr>
  </w:style>
  <w:style w:type="character" w:customStyle="1" w:styleId="TextodegloboCar">
    <w:name w:val="Texto de globo Car"/>
    <w:basedOn w:val="Fuentedeprrafopredeter"/>
    <w:link w:val="Textodeglobo"/>
    <w:uiPriority w:val="99"/>
    <w:semiHidden/>
    <w:rsid w:val="0075356C"/>
    <w:rPr>
      <w:rFonts w:ascii="Tahoma" w:hAnsi="Tahoma" w:cs="Tahoma"/>
      <w:sz w:val="16"/>
      <w:szCs w:val="16"/>
      <w:lang w:val="es-ES_tradnl"/>
    </w:rPr>
  </w:style>
  <w:style w:type="character" w:styleId="Hipervnculo">
    <w:name w:val="Hyperlink"/>
    <w:basedOn w:val="Fuentedeprrafopredeter"/>
    <w:uiPriority w:val="99"/>
    <w:semiHidden/>
    <w:unhideWhenUsed/>
    <w:rsid w:val="00FA6194"/>
    <w:rPr>
      <w:color w:val="0000FF"/>
      <w:u w:val="single"/>
    </w:rPr>
  </w:style>
  <w:style w:type="table" w:styleId="Tablaconcuadrcula">
    <w:name w:val="Table Grid"/>
    <w:basedOn w:val="Tablanormal"/>
    <w:uiPriority w:val="59"/>
    <w:rsid w:val="00FA11CC"/>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0">
    <w:name w:val="normal"/>
    <w:rsid w:val="00D21224"/>
    <w:pPr>
      <w:jc w:val="both"/>
    </w:pPr>
    <w:rPr>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C2248-BD6A-46C7-AF92-B0F302B4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682</Words>
  <Characters>3668</Characters>
  <Application>Microsoft Office Word</Application>
  <DocSecurity>0</DocSecurity>
  <Lines>109</Lines>
  <Paragraphs>54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9</cp:revision>
  <cp:lastPrinted>2026-06-16T13:10:00Z</cp:lastPrinted>
  <dcterms:created xsi:type="dcterms:W3CDTF">2026-06-16T13:12:00Z</dcterms:created>
  <dcterms:modified xsi:type="dcterms:W3CDTF">2026-06-16T13:54:00Z</dcterms:modified>
</cp:coreProperties>
</file>