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Legislatura de la ciudad Autónoma de Buenos Aires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Visto: 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El Expediente Nº1877-D-2026 de Autoría Del Diputado La Blunda, con coautoría del Diputado Ferreño y de las Diputadas Freire y González, por el cual se Repudia al ingreso de militares armados y la utilización de vehículos del ejército argenti</w:t>
      </w:r>
      <w:r>
        <w:rPr>
          <w:rFonts w:ascii="Times New Roman" w:eastAsia="Times New Roman" w:hAnsi="Times New Roman" w:cs="Times New Roman"/>
        </w:rPr>
        <w:t xml:space="preserve">no en el predio del Espacio memoria y derechos Humanos Ex </w:t>
      </w:r>
      <w:proofErr w:type="spellStart"/>
      <w:r>
        <w:rPr>
          <w:rFonts w:ascii="Times New Roman" w:eastAsia="Times New Roman" w:hAnsi="Times New Roman" w:cs="Times New Roman"/>
        </w:rPr>
        <w:t>Esma</w:t>
      </w:r>
      <w:proofErr w:type="spellEnd"/>
      <w:r>
        <w:rPr>
          <w:rFonts w:ascii="Times New Roman" w:eastAsia="Times New Roman" w:hAnsi="Times New Roman" w:cs="Times New Roman"/>
        </w:rPr>
        <w:t>, Y;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Considerando: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Que  el presente proyecto tiene por objeto repudiar el ingreso de militares armados y la utilización de vehículos del Ejército Argentino en el predi</w:t>
      </w:r>
      <w:r>
        <w:rPr>
          <w:rFonts w:ascii="Times New Roman" w:eastAsia="Times New Roman" w:hAnsi="Times New Roman" w:cs="Times New Roman"/>
        </w:rPr>
        <w:t>o del Espacio Memoria y Derechos Humanos ex ESMA, una situación de extrema gravedad institucional y simbólica por tratarse de uno de los lugares más emblemáticos del terrorismo de Estado en nuestro país.</w:t>
      </w: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Que  durante la última dict</w:t>
      </w:r>
      <w:r>
        <w:rPr>
          <w:rFonts w:ascii="Times New Roman" w:eastAsia="Times New Roman" w:hAnsi="Times New Roman" w:cs="Times New Roman"/>
        </w:rPr>
        <w:t>adura cívico-militar, en la Escuela de Mecánica de la Armada funcionó uno de los principales centros clandestinos de detención, tortura, exterminio y apropiación de bebés. Por allí pasaron alrededor de 5.000 personas detenidas desaparecidas, en su enorme m</w:t>
      </w:r>
      <w:r>
        <w:rPr>
          <w:rFonts w:ascii="Times New Roman" w:eastAsia="Times New Roman" w:hAnsi="Times New Roman" w:cs="Times New Roman"/>
        </w:rPr>
        <w:t>ayoría aún desaparecidas. Ese predio es hoy un espacio destinado a la memoria, a la promoción de los derechos humanos y a la transmisión social de lo ocurrido durante el genocidio.</w:t>
      </w: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Que  el hecho denunciado no puede ser leído como un </w:t>
      </w:r>
      <w:r>
        <w:rPr>
          <w:rFonts w:ascii="Times New Roman" w:eastAsia="Times New Roman" w:hAnsi="Times New Roman" w:cs="Times New Roman"/>
        </w:rPr>
        <w:t xml:space="preserve">episodio aislado ni como un mero error protocolar. La presencia de militares armados en la ex ESMA constituye una provocación, una ofensa a la memoria colectiva y una forma de </w:t>
      </w:r>
      <w:proofErr w:type="spellStart"/>
      <w:r>
        <w:rPr>
          <w:rFonts w:ascii="Times New Roman" w:eastAsia="Times New Roman" w:hAnsi="Times New Roman" w:cs="Times New Roman"/>
        </w:rPr>
        <w:t>revictimización</w:t>
      </w:r>
      <w:proofErr w:type="spellEnd"/>
      <w:r>
        <w:rPr>
          <w:rFonts w:ascii="Times New Roman" w:eastAsia="Times New Roman" w:hAnsi="Times New Roman" w:cs="Times New Roman"/>
        </w:rPr>
        <w:t xml:space="preserve"> para sobrevivientes, familiares y organismos de derechos humanos</w:t>
      </w:r>
      <w:r>
        <w:rPr>
          <w:rFonts w:ascii="Times New Roman" w:eastAsia="Times New Roman" w:hAnsi="Times New Roman" w:cs="Times New Roman"/>
        </w:rPr>
        <w:t>. Además, contradice el sentido mismo para el cual fue recuperado el predio: construir memoria social, preservar la prueba histórica y judicial, y promover el Nunca Más. El comunicado de los organismos de derechos humanos del Espacio Memoria, publicado por</w:t>
      </w:r>
      <w:r>
        <w:rPr>
          <w:rFonts w:ascii="Times New Roman" w:eastAsia="Times New Roman" w:hAnsi="Times New Roman" w:cs="Times New Roman"/>
        </w:rPr>
        <w:t xml:space="preserve"> Abuelas de Plaza de </w:t>
      </w:r>
      <w:proofErr w:type="gramStart"/>
      <w:r>
        <w:rPr>
          <w:rFonts w:ascii="Times New Roman" w:eastAsia="Times New Roman" w:hAnsi="Times New Roman" w:cs="Times New Roman"/>
        </w:rPr>
        <w:t>Mayo2 ,</w:t>
      </w:r>
      <w:proofErr w:type="gramEnd"/>
      <w:r>
        <w:rPr>
          <w:rFonts w:ascii="Times New Roman" w:eastAsia="Times New Roman" w:hAnsi="Times New Roman" w:cs="Times New Roman"/>
        </w:rPr>
        <w:t xml:space="preserve"> advierte con claridad que este tipo de actos resulta contrario a los objetivos del sitio y que la reglamentación vigente prohíbe el uso de armas en el predio.</w:t>
      </w: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Que  ese señalamiento debe ser atendido con </w:t>
      </w:r>
      <w:r>
        <w:rPr>
          <w:rFonts w:ascii="Times New Roman" w:eastAsia="Times New Roman" w:hAnsi="Times New Roman" w:cs="Times New Roman"/>
        </w:rPr>
        <w:t xml:space="preserve">la máxima seriedad por todas las instituciones democráticas a 50 años del golpe genocida, estos hechos adquieren una gravedad mayor. En un contexto de avance de discursos negacionistas, </w:t>
      </w:r>
      <w:proofErr w:type="spellStart"/>
      <w:r>
        <w:rPr>
          <w:rFonts w:ascii="Times New Roman" w:eastAsia="Times New Roman" w:hAnsi="Times New Roman" w:cs="Times New Roman"/>
        </w:rPr>
        <w:t>relativizadores</w:t>
      </w:r>
      <w:proofErr w:type="spellEnd"/>
      <w:r>
        <w:rPr>
          <w:rFonts w:ascii="Times New Roman" w:eastAsia="Times New Roman" w:hAnsi="Times New Roman" w:cs="Times New Roman"/>
        </w:rPr>
        <w:t xml:space="preserve"> o reivindicatorios del terrorismo de Estado, la utiliz</w:t>
      </w:r>
      <w:r>
        <w:rPr>
          <w:rFonts w:ascii="Times New Roman" w:eastAsia="Times New Roman" w:hAnsi="Times New Roman" w:cs="Times New Roman"/>
        </w:rPr>
        <w:t>ación de símbolos, prácticas o despliegues militares en un sitio de memoria no es neutral. Lesiona consensos democráticos básicos construidos por el pueblo argentino y por los organismos de derechos humanos durante décadas de lucha.</w:t>
      </w: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Que la causa Malvinas forma parte de nuestra identidad nacional y de nuestra soberanía. Pero su defensa no puede ser utilizada para militarizar simbólicamente un espacio marcado por el horror del terrorismo de Estado. Como expresaron los organismos: las M</w:t>
      </w:r>
      <w:r>
        <w:rPr>
          <w:rFonts w:ascii="Times New Roman" w:eastAsia="Times New Roman" w:hAnsi="Times New Roman" w:cs="Times New Roman"/>
        </w:rPr>
        <w:t xml:space="preserve">alvinas son argentinas; los desaparecidos también. Ambas causas deben ser sostenidas desde la democracia, la memoria y los derechos humanos, nunca desde la provocación ni el </w:t>
      </w:r>
      <w:proofErr w:type="spellStart"/>
      <w:r>
        <w:rPr>
          <w:rFonts w:ascii="Times New Roman" w:eastAsia="Times New Roman" w:hAnsi="Times New Roman" w:cs="Times New Roman"/>
        </w:rPr>
        <w:t>disciplinamiento</w:t>
      </w:r>
      <w:proofErr w:type="spellEnd"/>
      <w:r>
        <w:rPr>
          <w:rFonts w:ascii="Times New Roman" w:eastAsia="Times New Roman" w:hAnsi="Times New Roman" w:cs="Times New Roman"/>
        </w:rPr>
        <w:t xml:space="preserve"> simbólico. La ex ESMA no es un predio cualquiera. Es memoria viva</w:t>
      </w:r>
      <w:r>
        <w:rPr>
          <w:rFonts w:ascii="Times New Roman" w:eastAsia="Times New Roman" w:hAnsi="Times New Roman" w:cs="Times New Roman"/>
        </w:rPr>
        <w:t>, prueba judicial, lugar de duelo, espacio educativo y patrimonio ético de nuestro pueblo. Cualquier intervención estatal en ese sitio debe respetar estrictamente su historia, su normativa y su función pública como espacio de memoria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Por todo lo expuesto </w:t>
      </w:r>
      <w:r>
        <w:rPr>
          <w:rFonts w:ascii="Times New Roman" w:eastAsia="Times New Roman" w:hAnsi="Times New Roman" w:cs="Times New Roman"/>
        </w:rPr>
        <w:t>esta Comisión de Derechos Humanos Garantías y Antidiscriminación aconseja la aprobación de la siguiente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DECLARACIÓN</w:t>
      </w:r>
    </w:p>
    <w:p w:rsidR="00DF5AC3" w:rsidRDefault="00DF5AC3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</w:pPr>
      <w:r>
        <w:rPr>
          <w:rFonts w:ascii="Times New Roman" w:eastAsia="Times New Roman" w:hAnsi="Times New Roman" w:cs="Times New Roman"/>
        </w:rPr>
        <w:t xml:space="preserve">La Legislatura de la Ciudad Autónoma de Buenos Aires expresa su más enérgico </w:t>
      </w:r>
      <w:r>
        <w:rPr>
          <w:rFonts w:ascii="Times New Roman" w:eastAsia="Times New Roman" w:hAnsi="Times New Roman" w:cs="Times New Roman"/>
        </w:rPr>
        <w:t>repudio al ingreso de militares armados y a la utilización de vehículos del Ejército Argentino en el predio del Espacio Memoria y Derechos Humanos (ex ESMA), en el marco del acto por el Día de la Afirmación de los Derechos Argentinos sobre las Islas Malvin</w:t>
      </w:r>
      <w:r>
        <w:rPr>
          <w:rFonts w:ascii="Times New Roman" w:eastAsia="Times New Roman" w:hAnsi="Times New Roman" w:cs="Times New Roman"/>
        </w:rPr>
        <w:t>as, Islas del Atlántico Sur y Sector Antártico, realizado por el Museo Malvinas e Islas del Atlántico Sur y sector Antártico, realizado por el museo Malvinas e islas del Atlántico Sur.</w:t>
      </w:r>
    </w:p>
    <w:p w:rsidR="00DF5AC3" w:rsidRDefault="00DF5AC3">
      <w:pPr>
        <w:pStyle w:val="normal0"/>
      </w:pPr>
    </w:p>
    <w:p w:rsidR="00DF5AC3" w:rsidRDefault="00DF5AC3">
      <w:pPr>
        <w:pStyle w:val="normal0"/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BLUNDA,  Andrés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LOUPIAS, Francisco</w:t>
      </w: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Presidente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Vicepresidente 1°</w:t>
      </w: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MARTIN, Amanda</w:t>
      </w: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Vicepresidenta 2º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ALIFRACO, Edgardo</w:t>
      </w: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ALONSO, Laura                                                                      BIASI, </w:t>
      </w:r>
      <w:proofErr w:type="spellStart"/>
      <w:r>
        <w:rPr>
          <w:rFonts w:ascii="Times New Roman" w:eastAsia="Times New Roman" w:hAnsi="Times New Roman" w:cs="Times New Roman"/>
        </w:rPr>
        <w:t>Vanina</w:t>
      </w:r>
      <w:proofErr w:type="spellEnd"/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ERNST, Marcelo                                                                     IMAS, Silvia</w:t>
      </w: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PEÑAFORT, Graciana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LOSPENNATO, Silvia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SALVATIERRA, Alejandro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VELAZQUEZ, Delfina</w:t>
      </w: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DF5AC3">
      <w:pPr>
        <w:pStyle w:val="normal0"/>
        <w:rPr>
          <w:rFonts w:ascii="Times New Roman" w:eastAsia="Times New Roman" w:hAnsi="Times New Roman" w:cs="Times New Roman"/>
        </w:rPr>
      </w:pPr>
    </w:p>
    <w:p w:rsidR="00DF5AC3" w:rsidRDefault="00C85EAA">
      <w:pPr>
        <w:pStyle w:val="normal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WOLFF, Waldo</w:t>
      </w:r>
    </w:p>
    <w:sectPr w:rsidR="00DF5AC3" w:rsidSect="00DF5AC3">
      <w:headerReference w:type="default" r:id="rId7"/>
      <w:footerReference w:type="default" r:id="rId8"/>
      <w:pgSz w:w="12240" w:h="20160"/>
      <w:pgMar w:top="2269" w:right="1701" w:bottom="1418" w:left="1701" w:header="709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EAA" w:rsidRDefault="00C85EAA" w:rsidP="00DF5AC3">
      <w:pPr>
        <w:spacing w:after="0" w:line="240" w:lineRule="auto"/>
      </w:pPr>
      <w:r>
        <w:separator/>
      </w:r>
    </w:p>
  </w:endnote>
  <w:endnote w:type="continuationSeparator" w:id="0">
    <w:p w:rsidR="00C85EAA" w:rsidRDefault="00C85EAA" w:rsidP="00DF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lay">
    <w:charset w:val="00"/>
    <w:family w:val="auto"/>
    <w:pitch w:val="default"/>
    <w:sig w:usb0="00000000" w:usb1="00000000" w:usb2="00000000" w:usb3="00000000" w:csb0="00000000" w:csb1="00000000"/>
    <w:embedRegular r:id="rId1" w:fontKey="{69119667-7593-4CED-A02A-9745C79601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C3" w:rsidRDefault="00C85EA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142"/>
      <w:rPr>
        <w:color w:val="333333"/>
        <w:sz w:val="20"/>
        <w:szCs w:val="20"/>
      </w:rPr>
    </w:pPr>
    <w:r>
      <w:rPr>
        <w:color w:val="333333"/>
        <w:sz w:val="20"/>
        <w:szCs w:val="20"/>
      </w:rPr>
      <w:t xml:space="preserve">Último cambio: </w:t>
    </w:r>
    <w:r>
      <w:rPr>
        <w:color w:val="000000"/>
        <w:sz w:val="20"/>
        <w:szCs w:val="20"/>
      </w:rPr>
      <w:t>6/4/2024 00:02:00</w:t>
    </w:r>
    <w:r>
      <w:rPr>
        <w:color w:val="333333"/>
        <w:sz w:val="20"/>
        <w:szCs w:val="20"/>
      </w:rPr>
      <w:t xml:space="preserve">  -  Cantidad de caracteres: 3503 - Cantidad de palabras: 639</w:t>
    </w:r>
  </w:p>
  <w:p w:rsidR="00DF5AC3" w:rsidRDefault="00C85EA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565"/>
      </w:tabs>
      <w:spacing w:after="0" w:line="240" w:lineRule="auto"/>
      <w:rPr>
        <w:color w:val="333333"/>
      </w:rPr>
    </w:pPr>
    <w:r>
      <w:rPr>
        <w:color w:val="333333"/>
        <w:sz w:val="20"/>
        <w:szCs w:val="20"/>
      </w:rPr>
      <w:tab/>
      <w:t>Pág.</w:t>
    </w:r>
    <w:r w:rsidR="00DF5AC3">
      <w:rPr>
        <w:color w:val="333333"/>
      </w:rPr>
      <w:fldChar w:fldCharType="begin"/>
    </w:r>
    <w:r>
      <w:rPr>
        <w:color w:val="333333"/>
      </w:rPr>
      <w:instrText>PAGE</w:instrText>
    </w:r>
    <w:r w:rsidR="00AD32EE">
      <w:rPr>
        <w:color w:val="333333"/>
      </w:rPr>
      <w:fldChar w:fldCharType="separate"/>
    </w:r>
    <w:r w:rsidR="00AD32EE">
      <w:rPr>
        <w:noProof/>
        <w:color w:val="333333"/>
      </w:rPr>
      <w:t>1</w:t>
    </w:r>
    <w:r w:rsidR="00DF5AC3">
      <w:rPr>
        <w:color w:val="333333"/>
      </w:rPr>
      <w:fldChar w:fldCharType="end"/>
    </w:r>
    <w:r>
      <w:rPr>
        <w:color w:val="333333"/>
      </w:rPr>
      <w:t>/</w:t>
    </w:r>
    <w:r w:rsidR="00DF5AC3">
      <w:rPr>
        <w:color w:val="000000"/>
      </w:rPr>
      <w:fldChar w:fldCharType="begin"/>
    </w:r>
    <w:r>
      <w:rPr>
        <w:color w:val="000000"/>
      </w:rPr>
      <w:instrText>NUMPAGES</w:instrText>
    </w:r>
    <w:r w:rsidR="00AD32EE">
      <w:rPr>
        <w:color w:val="000000"/>
      </w:rPr>
      <w:fldChar w:fldCharType="separate"/>
    </w:r>
    <w:r w:rsidR="00AD32EE">
      <w:rPr>
        <w:noProof/>
        <w:color w:val="000000"/>
      </w:rPr>
      <w:t>2</w:t>
    </w:r>
    <w:r w:rsidR="00DF5AC3"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EAA" w:rsidRDefault="00C85EAA" w:rsidP="00DF5AC3">
      <w:pPr>
        <w:spacing w:after="0" w:line="240" w:lineRule="auto"/>
      </w:pPr>
      <w:r>
        <w:separator/>
      </w:r>
    </w:p>
  </w:footnote>
  <w:footnote w:type="continuationSeparator" w:id="0">
    <w:p w:rsidR="00C85EAA" w:rsidRDefault="00C85EAA" w:rsidP="00DF5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C3" w:rsidRDefault="00C85EA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212089</wp:posOffset>
          </wp:positionH>
          <wp:positionV relativeFrom="paragraph">
            <wp:posOffset>141605</wp:posOffset>
          </wp:positionV>
          <wp:extent cx="5400040" cy="737870"/>
          <wp:effectExtent l="0" t="0" r="0" b="0"/>
          <wp:wrapTopAndBottom distT="0" distB="0"/>
          <wp:docPr id="1555761673" name="image1.jp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737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F5AC3" w:rsidRDefault="00DF5AC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AC3"/>
    <w:rsid w:val="00AD32EE"/>
    <w:rsid w:val="00C85EAA"/>
    <w:rsid w:val="00DF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F5AC3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0"/>
    <w:next w:val="normal0"/>
    <w:rsid w:val="00DF5AC3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0"/>
    <w:next w:val="normal0"/>
    <w:rsid w:val="00DF5AC3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0"/>
    <w:next w:val="normal0"/>
    <w:rsid w:val="00DF5AC3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0"/>
    <w:next w:val="normal0"/>
    <w:rsid w:val="00DF5AC3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0"/>
    <w:next w:val="normal0"/>
    <w:rsid w:val="00DF5AC3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0"/>
    <w:next w:val="normal0"/>
    <w:link w:val="Ttulo7Car"/>
    <w:uiPriority w:val="9"/>
    <w:semiHidden/>
    <w:unhideWhenUsed/>
    <w:qFormat/>
    <w:rsid w:val="00AF6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ar"/>
    <w:uiPriority w:val="9"/>
    <w:semiHidden/>
    <w:unhideWhenUsed/>
    <w:qFormat/>
    <w:rsid w:val="00AF6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ar"/>
    <w:uiPriority w:val="9"/>
    <w:semiHidden/>
    <w:unhideWhenUsed/>
    <w:qFormat/>
    <w:rsid w:val="00AF6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DF5AC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DF5AC3"/>
  </w:style>
  <w:style w:type="paragraph" w:styleId="Ttulo">
    <w:name w:val="Title"/>
    <w:basedOn w:val="normal0"/>
    <w:next w:val="normal0"/>
    <w:rsid w:val="00DF5AC3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AF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AF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AF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AF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AF63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AF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364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AF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AF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0"/>
    <w:next w:val="normal0"/>
    <w:link w:val="CitaCar"/>
    <w:uiPriority w:val="29"/>
    <w:qFormat/>
    <w:rsid w:val="00AF6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364"/>
    <w:rPr>
      <w:i/>
      <w:iCs/>
      <w:color w:val="404040" w:themeColor="text1" w:themeTint="BF"/>
    </w:rPr>
  </w:style>
  <w:style w:type="paragraph" w:styleId="Prrafodelista">
    <w:name w:val="List Paragraph"/>
    <w:basedOn w:val="normal0"/>
    <w:uiPriority w:val="34"/>
    <w:qFormat/>
    <w:rsid w:val="00AF63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6364"/>
    <w:rPr>
      <w:i/>
      <w:iCs/>
      <w:color w:val="0F4761" w:themeColor="accent1" w:themeShade="BF"/>
    </w:rPr>
  </w:style>
  <w:style w:type="paragraph" w:styleId="Citadestacada">
    <w:name w:val="Intense Quote"/>
    <w:basedOn w:val="normal0"/>
    <w:next w:val="normal0"/>
    <w:link w:val="CitadestacadaCar"/>
    <w:uiPriority w:val="30"/>
    <w:qFormat/>
    <w:rsid w:val="00AF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3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3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0"/>
    <w:link w:val="EncabezadoCar"/>
    <w:uiPriority w:val="99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364"/>
  </w:style>
  <w:style w:type="paragraph" w:styleId="Piedepgina">
    <w:name w:val="footer"/>
    <w:basedOn w:val="normal0"/>
    <w:link w:val="PiedepginaCar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364"/>
  </w:style>
  <w:style w:type="character" w:styleId="Nmerodepgina">
    <w:name w:val="page number"/>
    <w:basedOn w:val="Fuentedeprrafopredeter"/>
    <w:rsid w:val="009A4135"/>
  </w:style>
  <w:style w:type="paragraph" w:styleId="Subttulo">
    <w:name w:val="Subtitle"/>
    <w:basedOn w:val="normal0"/>
    <w:next w:val="normal0"/>
    <w:rsid w:val="00DF5AC3"/>
    <w:rPr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q+bbjAZ32gh1/ZKX4bWGlpiNPQ==">CgMxLjA4AHIhMVd1VGhTUnZJeGdaSlFheGxUSEU1NDF1aFBrRlg0Sy1M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liarriegui</dc:creator>
  <cp:lastModifiedBy>maaccorinti</cp:lastModifiedBy>
  <cp:revision>2</cp:revision>
  <dcterms:created xsi:type="dcterms:W3CDTF">2026-08-19T15:17:00Z</dcterms:created>
  <dcterms:modified xsi:type="dcterms:W3CDTF">2026-08-19T15:17:00Z</dcterms:modified>
</cp:coreProperties>
</file>