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1B1" w:rsidRPr="00C64CB5" w:rsidRDefault="00B9437C" w:rsidP="00C64CB5">
      <w:pPr>
        <w:pBdr>
          <w:top w:val="nil"/>
          <w:left w:val="nil"/>
          <w:bottom w:val="nil"/>
          <w:right w:val="nil"/>
          <w:between w:val="nil"/>
        </w:pBdr>
        <w:spacing w:after="240" w:line="360" w:lineRule="auto"/>
        <w:jc w:val="right"/>
        <w:rPr>
          <w:rFonts w:ascii="Times New Roman" w:eastAsia="Times New Roman" w:hAnsi="Times New Roman" w:cs="Times New Roman"/>
          <w:i/>
          <w:iCs/>
          <w:color w:val="000000"/>
          <w:sz w:val="24"/>
          <w:szCs w:val="24"/>
        </w:rPr>
      </w:pPr>
      <w:r w:rsidRPr="00C64CB5">
        <w:rPr>
          <w:rFonts w:ascii="Times New Roman" w:eastAsia="Times New Roman" w:hAnsi="Times New Roman" w:cs="Times New Roman"/>
          <w:i/>
          <w:iCs/>
          <w:color w:val="000000"/>
          <w:sz w:val="24"/>
          <w:szCs w:val="24"/>
        </w:rPr>
        <w:t>Ref. Expediente 1703-C-2026</w:t>
      </w:r>
    </w:p>
    <w:p w:rsidR="002751B1" w:rsidRPr="00C64CB5" w:rsidRDefault="00B9437C" w:rsidP="00C64CB5">
      <w:pPr>
        <w:pBdr>
          <w:top w:val="nil"/>
          <w:left w:val="nil"/>
          <w:bottom w:val="nil"/>
          <w:right w:val="nil"/>
          <w:between w:val="nil"/>
        </w:pBdr>
        <w:spacing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Legislatura de la Ciudad Autónoma de Buenos Aires.</w:t>
      </w:r>
    </w:p>
    <w:p w:rsidR="002751B1" w:rsidRDefault="00B9437C" w:rsidP="00C64CB5">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Visto: </w:t>
      </w:r>
    </w:p>
    <w:p w:rsidR="002751B1" w:rsidRDefault="00B9437C" w:rsidP="00C64CB5">
      <w:pPr>
        <w:pBdr>
          <w:top w:val="nil"/>
          <w:left w:val="nil"/>
          <w:bottom w:val="nil"/>
          <w:right w:val="nil"/>
          <w:between w:val="nil"/>
        </w:pBdr>
        <w:spacing w:after="24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Expediente 1703-C-2026 de autoría de la </w:t>
      </w:r>
      <w:r w:rsidRPr="00C64CB5">
        <w:rPr>
          <w:rFonts w:ascii="Times New Roman" w:eastAsia="Times New Roman" w:hAnsi="Times New Roman" w:cs="Times New Roman"/>
          <w:b/>
          <w:bCs/>
          <w:color w:val="000000"/>
          <w:sz w:val="24"/>
          <w:szCs w:val="24"/>
        </w:rPr>
        <w:t>Comuna 11</w:t>
      </w:r>
      <w:r>
        <w:rPr>
          <w:rFonts w:ascii="Times New Roman" w:eastAsia="Times New Roman" w:hAnsi="Times New Roman" w:cs="Times New Roman"/>
          <w:color w:val="000000"/>
          <w:sz w:val="24"/>
          <w:szCs w:val="24"/>
        </w:rPr>
        <w:t xml:space="preserve"> cuyo objeto denominar “Gran Malvina” al espacio verde (plazoleta) sin denominación oficial, ubicado en el polígono delimitado por la Avenida Mosconi y Avenida Segurola, y;</w:t>
      </w:r>
    </w:p>
    <w:p w:rsidR="002751B1" w:rsidRPr="00C64CB5" w:rsidRDefault="00B9437C" w:rsidP="00C64CB5">
      <w:pPr>
        <w:pBdr>
          <w:top w:val="nil"/>
          <w:left w:val="nil"/>
          <w:bottom w:val="nil"/>
          <w:right w:val="nil"/>
          <w:between w:val="nil"/>
        </w:pBdr>
        <w:spacing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Considerando:</w:t>
      </w:r>
    </w:p>
    <w:p w:rsidR="002751B1" w:rsidRDefault="00B9437C" w:rsidP="00C64CB5">
      <w:pPr>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el presente proyecto de ley tiene como objeto oficializar la deno</w:t>
      </w:r>
      <w:r>
        <w:rPr>
          <w:rFonts w:ascii="Times New Roman" w:eastAsia="Times New Roman" w:hAnsi="Times New Roman" w:cs="Times New Roman"/>
          <w:sz w:val="24"/>
          <w:szCs w:val="24"/>
        </w:rPr>
        <w:t xml:space="preserve">minación de un espacio verde situado en un punto neurálgico del barrio de Villa Devoto bajo el nombre de "Gran Malvina". Dicho espacio, identificado coloquialmente como la plazoleta de la intersección de Mosconi, Segurola y Sanabria, carece actualmente de </w:t>
      </w:r>
      <w:r>
        <w:rPr>
          <w:rFonts w:ascii="Times New Roman" w:eastAsia="Times New Roman" w:hAnsi="Times New Roman" w:cs="Times New Roman"/>
          <w:sz w:val="24"/>
          <w:szCs w:val="24"/>
        </w:rPr>
        <w:t>una denominación formal en el catastro de la Ciudad. Al encontrarse lindero a la Sección 083, Manzana 016A, su oficialización permitirá integrarlo plenamente al patrimonio urbano y facilitar su mantenimiento y referencia para los vecinos.</w:t>
      </w:r>
    </w:p>
    <w:p w:rsidR="002751B1" w:rsidRDefault="00B9437C" w:rsidP="00C64CB5">
      <w:pPr>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esta iniciati</w:t>
      </w:r>
      <w:r>
        <w:rPr>
          <w:rFonts w:ascii="Times New Roman" w:eastAsia="Times New Roman" w:hAnsi="Times New Roman" w:cs="Times New Roman"/>
          <w:sz w:val="24"/>
          <w:szCs w:val="24"/>
        </w:rPr>
        <w:t xml:space="preserve">va se presenta en el marco del mes de abril, período de profunda significancia para el sentimiento nacional, dado que el 2 de abril se conmemora el "Día del Veterano y de los Caídos en la Guerra de Malvinas". A más de cuatro décadas del conflicto, resulta </w:t>
      </w:r>
      <w:r>
        <w:rPr>
          <w:rFonts w:ascii="Times New Roman" w:eastAsia="Times New Roman" w:hAnsi="Times New Roman" w:cs="Times New Roman"/>
          <w:sz w:val="24"/>
          <w:szCs w:val="24"/>
        </w:rPr>
        <w:t>imperativo que nuestra ciudad realice un permanente ejercicio de memoria y reclamo inclaudicable de soberanía sobre nuestras islas.</w:t>
      </w:r>
    </w:p>
    <w:p w:rsidR="002751B1" w:rsidRDefault="00B9437C" w:rsidP="00C64CB5">
      <w:pPr>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elegir el nombre de "Gran Malvina" para este sector de alto tránsito y visibilidad no sólo jerarquiza el entorno barrial</w:t>
      </w:r>
      <w:r>
        <w:rPr>
          <w:rFonts w:ascii="Times New Roman" w:eastAsia="Times New Roman" w:hAnsi="Times New Roman" w:cs="Times New Roman"/>
          <w:sz w:val="24"/>
          <w:szCs w:val="24"/>
        </w:rPr>
        <w:t>, sino que funciona como un recordatorio constante de nuestra integridad territorial. Es un acto de reafirmación histórica y un homenaje a quienes defendieron nuestra soberanía.</w:t>
      </w:r>
    </w:p>
    <w:p w:rsidR="002751B1" w:rsidRPr="00C64CB5" w:rsidRDefault="00B9437C" w:rsidP="00C64CB5">
      <w:pPr>
        <w:spacing w:after="24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solicito al cuerpo legislativo de la Ciudad Autónoma de </w:t>
      </w:r>
      <w:r>
        <w:rPr>
          <w:rFonts w:ascii="Times New Roman" w:eastAsia="Times New Roman" w:hAnsi="Times New Roman" w:cs="Times New Roman"/>
          <w:sz w:val="24"/>
          <w:szCs w:val="24"/>
        </w:rPr>
        <w:t>Buenos Aires, el acompañamiento y aprobación del presente proyecto de ley.</w:t>
      </w:r>
    </w:p>
    <w:p w:rsidR="002751B1" w:rsidRDefault="00B9437C" w:rsidP="00C64CB5">
      <w:pPr>
        <w:pBdr>
          <w:top w:val="nil"/>
          <w:left w:val="nil"/>
          <w:bottom w:val="nil"/>
          <w:right w:val="nil"/>
          <w:between w:val="nil"/>
        </w:pBdr>
        <w:spacing w:after="24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LEY</w:t>
      </w:r>
    </w:p>
    <w:p w:rsidR="00C64CB5" w:rsidRDefault="00B9437C" w:rsidP="00C64CB5">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 –</w:t>
      </w:r>
      <w:r>
        <w:rPr>
          <w:rFonts w:ascii="Times New Roman" w:eastAsia="Times New Roman" w:hAnsi="Times New Roman" w:cs="Times New Roman"/>
          <w:sz w:val="24"/>
          <w:szCs w:val="24"/>
        </w:rPr>
        <w:t xml:space="preserve"> </w:t>
      </w:r>
      <w:r w:rsidR="001C1A48">
        <w:rPr>
          <w:rFonts w:ascii="Times New Roman" w:eastAsia="Times New Roman" w:hAnsi="Times New Roman" w:cs="Times New Roman"/>
          <w:sz w:val="24"/>
          <w:szCs w:val="24"/>
        </w:rPr>
        <w:t xml:space="preserve">Se denomina </w:t>
      </w:r>
      <w:r>
        <w:rPr>
          <w:rFonts w:ascii="Times New Roman" w:eastAsia="Times New Roman" w:hAnsi="Times New Roman" w:cs="Times New Roman"/>
          <w:sz w:val="24"/>
          <w:szCs w:val="24"/>
        </w:rPr>
        <w:t xml:space="preserve">con el nombre de "Gran Malvina" al espacio verde (plazoleta) sin denominación oficial, ubicado en el polígono delimitado por la Avenida General </w:t>
      </w:r>
      <w:r>
        <w:rPr>
          <w:rFonts w:ascii="Times New Roman" w:eastAsia="Times New Roman" w:hAnsi="Times New Roman" w:cs="Times New Roman"/>
          <w:sz w:val="24"/>
          <w:szCs w:val="24"/>
        </w:rPr>
        <w:t>Mosconi y la Avenida Segurola, lindero a la Sección 083, Manzana 016A, en el barrio de Villa Devoto.</w:t>
      </w:r>
    </w:p>
    <w:p w:rsidR="002751B1" w:rsidRDefault="00B9437C" w:rsidP="00C64CB5">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2°. -</w:t>
      </w:r>
      <w:r>
        <w:rPr>
          <w:rFonts w:ascii="Times New Roman" w:eastAsia="Times New Roman" w:hAnsi="Times New Roman" w:cs="Times New Roman"/>
          <w:sz w:val="24"/>
          <w:szCs w:val="24"/>
        </w:rPr>
        <w:t xml:space="preserve"> El Poder Ejecutivo, a través de las áreas que correspondan, dispondrá la señalización del espacio referido en el artículo 1°, mediante la co</w:t>
      </w:r>
      <w:r>
        <w:rPr>
          <w:rFonts w:ascii="Times New Roman" w:eastAsia="Times New Roman" w:hAnsi="Times New Roman" w:cs="Times New Roman"/>
          <w:sz w:val="24"/>
          <w:szCs w:val="24"/>
        </w:rPr>
        <w:t>locación de la cartelería correspondiente.</w:t>
      </w:r>
    </w:p>
    <w:p w:rsidR="001C1A48" w:rsidRPr="001C1A48" w:rsidRDefault="001C1A48" w:rsidP="001C1A48">
      <w:pPr>
        <w:pStyle w:val="Normal1"/>
        <w:tabs>
          <w:tab w:val="left" w:pos="0"/>
        </w:tabs>
        <w:spacing w:after="240"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rPr>
        <w:lastRenderedPageBreak/>
        <w:t xml:space="preserve">Artículo 3°.- </w:t>
      </w:r>
      <w:r w:rsidRPr="00CC6C88">
        <w:rPr>
          <w:rFonts w:ascii="Times New Roman" w:hAnsi="Times New Roman" w:cs="Times New Roman"/>
          <w:sz w:val="24"/>
          <w:szCs w:val="24"/>
        </w:rPr>
        <w:t>Publíquese y cúmplase con los artículos 89° y 90° de la Constitución de la Ciudad.</w:t>
      </w:r>
    </w:p>
    <w:p w:rsidR="00BE4F9D" w:rsidRDefault="00BE4F9D" w:rsidP="00BE4F9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Sala de la Comisión:   de                 de 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BE4F9D" w:rsidTr="00365E1B">
        <w:tc>
          <w:tcPr>
            <w:tcW w:w="8828" w:type="dxa"/>
            <w:gridSpan w:val="2"/>
            <w:tcBorders>
              <w:top w:val="single" w:sz="4" w:space="0" w:color="000000"/>
              <w:left w:val="single" w:sz="4" w:space="0" w:color="000000"/>
              <w:bottom w:val="single" w:sz="4" w:space="0" w:color="000000"/>
              <w:right w:val="single" w:sz="4" w:space="0" w:color="000000"/>
            </w:tcBorders>
          </w:tcPr>
          <w:p w:rsidR="00BE4F9D" w:rsidRPr="0071252C"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Pr="0071252C" w:rsidRDefault="00BE4F9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rsidR="00BE4F9D" w:rsidRPr="0071252C"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bl>
    <w:p w:rsidR="00BE4F9D" w:rsidRDefault="00BE4F9D">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BE4F9D" w:rsidTr="00365E1B">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BE4F9D" w:rsidRDefault="00BE4F9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BE4F9D" w:rsidRPr="00BE4F9D" w:rsidRDefault="00BE4F9D" w:rsidP="00BE4F9D">
      <w:pPr>
        <w:spacing w:after="240" w:line="360" w:lineRule="auto"/>
        <w:rPr>
          <w:rFonts w:ascii="Times New Roman" w:eastAsia="Times New Roman" w:hAnsi="Times New Roman" w:cs="Times New Roman"/>
          <w:sz w:val="24"/>
          <w:szCs w:val="24"/>
        </w:rPr>
      </w:pPr>
    </w:p>
    <w:p w:rsidR="002751B1" w:rsidRPr="00BE4F9D" w:rsidRDefault="002751B1">
      <w:pPr>
        <w:rPr>
          <w:rFonts w:ascii="Times New Roman" w:eastAsia="Times New Roman" w:hAnsi="Times New Roman" w:cs="Times New Roman"/>
          <w:color w:val="000000"/>
          <w:sz w:val="24"/>
          <w:szCs w:val="24"/>
        </w:rPr>
      </w:pPr>
    </w:p>
    <w:sectPr w:rsidR="002751B1" w:rsidRPr="00BE4F9D" w:rsidSect="00351795">
      <w:headerReference w:type="default" r:id="rId7"/>
      <w:footerReference w:type="default" r:id="rId8"/>
      <w:pgSz w:w="12240" w:h="20160"/>
      <w:pgMar w:top="2269" w:right="1701" w:bottom="1418" w:left="1701" w:header="709" w:footer="85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AF9" w:rsidRDefault="005F4AF9">
      <w:pPr>
        <w:spacing w:after="0" w:line="240" w:lineRule="auto"/>
      </w:pPr>
      <w:r>
        <w:separator/>
      </w:r>
    </w:p>
  </w:endnote>
  <w:endnote w:type="continuationSeparator" w:id="0">
    <w:p w:rsidR="005F4AF9" w:rsidRDefault="005F4A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embedRegular r:id="rId1" w:fontKey="{7AEE1F2D-1460-479F-A408-3325BAB912C9}"/>
    <w:embedItalic r:id="rId2" w:fontKey="{40A3C67E-AE0E-4F40-B318-3E887BA5F71D}"/>
  </w:font>
  <w:font w:name="Play">
    <w:charset w:val="00"/>
    <w:family w:val="auto"/>
    <w:pitch w:val="default"/>
    <w:sig w:usb0="00000000" w:usb1="00000000" w:usb2="00000000" w:usb3="00000000" w:csb0="00000000" w:csb1="00000000"/>
    <w:embedRegular r:id="rId3" w:fontKey="{031DAC75-7F14-4F6A-A12F-23DA810EF71A}"/>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embedRegular r:id="rId4" w:fontKey="{9C0CEA9C-68DF-42A1-927F-AB6020E70B27}"/>
  </w:font>
  <w:font w:name="Calibri">
    <w:panose1 w:val="020F0502020204030204"/>
    <w:charset w:val="00"/>
    <w:family w:val="swiss"/>
    <w:pitch w:val="variable"/>
    <w:sig w:usb0="E4002EFF" w:usb1="C200247B" w:usb2="00000009" w:usb3="00000000" w:csb0="000001FF" w:csb1="00000000"/>
    <w:embedRegular r:id="rId5" w:fontKey="{F117416D-539F-443C-B650-E129F4E7F0F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B1" w:rsidRDefault="00B9437C">
    <w:pPr>
      <w:pBdr>
        <w:top w:val="nil"/>
        <w:left w:val="nil"/>
        <w:bottom w:val="nil"/>
        <w:right w:val="nil"/>
        <w:between w:val="nil"/>
      </w:pBdr>
      <w:tabs>
        <w:tab w:val="center" w:pos="4252"/>
        <w:tab w:val="right" w:pos="8504"/>
      </w:tabs>
      <w:spacing w:after="0" w:line="240" w:lineRule="auto"/>
      <w:ind w:left="142"/>
      <w:rPr>
        <w:color w:val="333333"/>
        <w:sz w:val="20"/>
        <w:szCs w:val="20"/>
      </w:rPr>
    </w:pPr>
    <w:r>
      <w:rPr>
        <w:color w:val="333333"/>
        <w:sz w:val="20"/>
        <w:szCs w:val="20"/>
      </w:rPr>
      <w:t xml:space="preserve">Último cambio: </w:t>
    </w:r>
    <w:r w:rsidR="001C1A48">
      <w:rPr>
        <w:color w:val="333333"/>
        <w:sz w:val="20"/>
        <w:szCs w:val="20"/>
      </w:rPr>
      <w:t>28</w:t>
    </w:r>
    <w:r>
      <w:rPr>
        <w:color w:val="333333"/>
        <w:sz w:val="20"/>
        <w:szCs w:val="20"/>
      </w:rPr>
      <w:t>/8/2026 1</w:t>
    </w:r>
    <w:r w:rsidR="001C1A48">
      <w:rPr>
        <w:color w:val="333333"/>
        <w:sz w:val="20"/>
        <w:szCs w:val="20"/>
      </w:rPr>
      <w:t>0</w:t>
    </w:r>
    <w:r>
      <w:rPr>
        <w:color w:val="333333"/>
        <w:sz w:val="20"/>
        <w:szCs w:val="20"/>
      </w:rPr>
      <w:t xml:space="preserve">:51:00  -  Cantidad de caracteres: </w:t>
    </w:r>
    <w:r w:rsidR="001C1A48">
      <w:rPr>
        <w:color w:val="333333"/>
        <w:sz w:val="20"/>
        <w:szCs w:val="20"/>
      </w:rPr>
      <w:t>2294</w:t>
    </w:r>
    <w:r>
      <w:rPr>
        <w:color w:val="333333"/>
        <w:sz w:val="20"/>
        <w:szCs w:val="20"/>
      </w:rPr>
      <w:t xml:space="preserve"> - Cantidad de palabras: </w:t>
    </w:r>
    <w:r w:rsidR="001C1A48">
      <w:rPr>
        <w:color w:val="333333"/>
        <w:sz w:val="20"/>
        <w:szCs w:val="20"/>
      </w:rPr>
      <w:t>413</w:t>
    </w:r>
  </w:p>
  <w:p w:rsidR="002751B1" w:rsidRDefault="00B9437C">
    <w:pPr>
      <w:pBdr>
        <w:top w:val="nil"/>
        <w:left w:val="nil"/>
        <w:bottom w:val="nil"/>
        <w:right w:val="nil"/>
        <w:between w:val="nil"/>
      </w:pBdr>
      <w:tabs>
        <w:tab w:val="center" w:pos="4252"/>
        <w:tab w:val="right" w:pos="8504"/>
        <w:tab w:val="left" w:pos="3565"/>
      </w:tabs>
      <w:spacing w:after="0" w:line="240" w:lineRule="auto"/>
      <w:rPr>
        <w:color w:val="333333"/>
      </w:rPr>
    </w:pPr>
    <w:r>
      <w:rPr>
        <w:color w:val="333333"/>
        <w:sz w:val="20"/>
        <w:szCs w:val="20"/>
      </w:rPr>
      <w:tab/>
      <w:t>Pág.</w:t>
    </w:r>
    <w:r w:rsidR="00351795">
      <w:rPr>
        <w:color w:val="333333"/>
      </w:rPr>
      <w:fldChar w:fldCharType="begin"/>
    </w:r>
    <w:r>
      <w:rPr>
        <w:color w:val="333333"/>
      </w:rPr>
      <w:instrText>PAGE</w:instrText>
    </w:r>
    <w:r w:rsidR="00351795">
      <w:rPr>
        <w:color w:val="333333"/>
      </w:rPr>
      <w:fldChar w:fldCharType="separate"/>
    </w:r>
    <w:r>
      <w:rPr>
        <w:noProof/>
        <w:color w:val="333333"/>
      </w:rPr>
      <w:t>1</w:t>
    </w:r>
    <w:r w:rsidR="00351795">
      <w:rPr>
        <w:color w:val="333333"/>
      </w:rPr>
      <w:fldChar w:fldCharType="end"/>
    </w:r>
    <w:r>
      <w:rPr>
        <w:color w:val="333333"/>
      </w:rPr>
      <w:t>/</w:t>
    </w:r>
    <w:r w:rsidR="00351795">
      <w:rPr>
        <w:color w:val="000000"/>
      </w:rPr>
      <w:fldChar w:fldCharType="begin"/>
    </w:r>
    <w:r>
      <w:rPr>
        <w:color w:val="000000"/>
      </w:rPr>
      <w:instrText>NUMPAGES</w:instrText>
    </w:r>
    <w:r w:rsidR="00351795">
      <w:rPr>
        <w:color w:val="000000"/>
      </w:rPr>
      <w:fldChar w:fldCharType="separate"/>
    </w:r>
    <w:r>
      <w:rPr>
        <w:noProof/>
        <w:color w:val="000000"/>
      </w:rPr>
      <w:t>3</w:t>
    </w:r>
    <w:r w:rsidR="00351795">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AF9" w:rsidRDefault="005F4AF9">
      <w:pPr>
        <w:spacing w:after="0" w:line="240" w:lineRule="auto"/>
      </w:pPr>
      <w:r>
        <w:separator/>
      </w:r>
    </w:p>
  </w:footnote>
  <w:footnote w:type="continuationSeparator" w:id="0">
    <w:p w:rsidR="005F4AF9" w:rsidRDefault="005F4A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B1" w:rsidRDefault="00B9437C">
    <w:pPr>
      <w:pBdr>
        <w:top w:val="nil"/>
        <w:left w:val="nil"/>
        <w:bottom w:val="nil"/>
        <w:right w:val="nil"/>
        <w:between w:val="nil"/>
      </w:pBdr>
      <w:tabs>
        <w:tab w:val="center" w:pos="4252"/>
        <w:tab w:val="right" w:pos="8504"/>
      </w:tabs>
      <w:spacing w:after="0" w:line="240" w:lineRule="auto"/>
      <w:rPr>
        <w:color w:val="000000"/>
      </w:rPr>
    </w:pPr>
    <w:r>
      <w:rPr>
        <w:noProof/>
        <w:lang w:val="es-ES" w:eastAsia="es-ES"/>
      </w:rPr>
      <w:drawing>
        <wp:anchor distT="0" distB="0" distL="114300" distR="114300" simplePos="0" relativeHeight="251658240" behindDoc="0" locked="0" layoutInCell="1" allowOverlap="1">
          <wp:simplePos x="0" y="0"/>
          <wp:positionH relativeFrom="column">
            <wp:posOffset>212089</wp:posOffset>
          </wp:positionH>
          <wp:positionV relativeFrom="paragraph">
            <wp:posOffset>141605</wp:posOffset>
          </wp:positionV>
          <wp:extent cx="5400040" cy="737870"/>
          <wp:effectExtent l="0" t="0" r="0" b="0"/>
          <wp:wrapTopAndBottom distT="0" distB="0"/>
          <wp:docPr id="1555761673" name="image1.jp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Texto&#10;&#10;El contenido generado por IA puede ser incorrecto."/>
                  <pic:cNvPicPr preferRelativeResize="0"/>
                </pic:nvPicPr>
                <pic:blipFill>
                  <a:blip r:embed="rId1"/>
                  <a:srcRect/>
                  <a:stretch>
                    <a:fillRect/>
                  </a:stretch>
                </pic:blipFill>
                <pic:spPr>
                  <a:xfrm>
                    <a:off x="0" y="0"/>
                    <a:ext cx="5400040" cy="737870"/>
                  </a:xfrm>
                  <a:prstGeom prst="rect">
                    <a:avLst/>
                  </a:prstGeom>
                  <a:ln/>
                </pic:spPr>
              </pic:pic>
            </a:graphicData>
          </a:graphic>
        </wp:anchor>
      </w:drawing>
    </w:r>
  </w:p>
  <w:p w:rsidR="002751B1" w:rsidRDefault="002751B1">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embedTrueTypeFonts/>
  <w:defaultTabStop w:val="720"/>
  <w:hyphenationZone w:val="425"/>
  <w:characterSpacingControl w:val="doNotCompress"/>
  <w:footnotePr>
    <w:footnote w:id="-1"/>
    <w:footnote w:id="0"/>
  </w:footnotePr>
  <w:endnotePr>
    <w:endnote w:id="-1"/>
    <w:endnote w:id="0"/>
  </w:endnotePr>
  <w:compat/>
  <w:rsids>
    <w:rsidRoot w:val="002751B1"/>
    <w:rsid w:val="001C1A48"/>
    <w:rsid w:val="002751B1"/>
    <w:rsid w:val="00351795"/>
    <w:rsid w:val="005F4AF9"/>
    <w:rsid w:val="006420DB"/>
    <w:rsid w:val="00B9437C"/>
    <w:rsid w:val="00BE4F9D"/>
    <w:rsid w:val="00C64CB5"/>
    <w:rsid w:val="00EB71F7"/>
    <w:rsid w:val="00FD44E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2"/>
        <w:szCs w:val="22"/>
        <w:lang w:val="es-AR" w:eastAsia="es-MX"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795"/>
  </w:style>
  <w:style w:type="paragraph" w:styleId="Ttulo1">
    <w:name w:val="heading 1"/>
    <w:basedOn w:val="Normal"/>
    <w:next w:val="Normal"/>
    <w:uiPriority w:val="9"/>
    <w:qFormat/>
    <w:rsid w:val="00351795"/>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rsid w:val="00351795"/>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rsid w:val="00351795"/>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rsid w:val="00351795"/>
    <w:pPr>
      <w:keepNext/>
      <w:keepLines/>
      <w:spacing w:before="80" w:after="40"/>
      <w:outlineLvl w:val="3"/>
    </w:pPr>
    <w:rPr>
      <w:i/>
      <w:iCs/>
      <w:color w:val="0F4761"/>
    </w:rPr>
  </w:style>
  <w:style w:type="paragraph" w:styleId="Ttulo5">
    <w:name w:val="heading 5"/>
    <w:basedOn w:val="Normal"/>
    <w:next w:val="Normal"/>
    <w:uiPriority w:val="9"/>
    <w:semiHidden/>
    <w:unhideWhenUsed/>
    <w:qFormat/>
    <w:rsid w:val="00351795"/>
    <w:pPr>
      <w:keepNext/>
      <w:keepLines/>
      <w:spacing w:before="80" w:after="40"/>
      <w:outlineLvl w:val="4"/>
    </w:pPr>
    <w:rPr>
      <w:color w:val="0F4761"/>
    </w:rPr>
  </w:style>
  <w:style w:type="paragraph" w:styleId="Ttulo6">
    <w:name w:val="heading 6"/>
    <w:basedOn w:val="Normal"/>
    <w:next w:val="Normal"/>
    <w:uiPriority w:val="9"/>
    <w:semiHidden/>
    <w:unhideWhenUsed/>
    <w:qFormat/>
    <w:rsid w:val="00351795"/>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351795"/>
    <w:tblPr>
      <w:tblCellMar>
        <w:top w:w="100" w:type="dxa"/>
        <w:left w:w="100" w:type="dxa"/>
        <w:bottom w:w="100" w:type="dxa"/>
        <w:right w:w="100" w:type="dxa"/>
      </w:tblCellMar>
    </w:tblPr>
  </w:style>
  <w:style w:type="paragraph" w:styleId="Ttulo">
    <w:name w:val="Title"/>
    <w:basedOn w:val="Normal"/>
    <w:next w:val="Normal"/>
    <w:uiPriority w:val="10"/>
    <w:qFormat/>
    <w:rsid w:val="00351795"/>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character" w:customStyle="1" w:styleId="TtuloCar">
    <w:name w:val="Título Car"/>
    <w:basedOn w:val="Fuentedeprrafopredeter"/>
    <w:uiPriority w:val="10"/>
    <w:rsid w:val="00AF636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lang w:eastAsia="es-ES"/>
    </w:rPr>
  </w:style>
  <w:style w:type="paragraph" w:styleId="Sinespaciado">
    <w:name w:val="No Spacing"/>
    <w:uiPriority w:val="1"/>
    <w:qFormat/>
    <w:rsid w:val="00923427"/>
    <w:pPr>
      <w:spacing w:after="0" w:line="240" w:lineRule="auto"/>
    </w:pPr>
    <w:rPr>
      <w:rFonts w:ascii="Calibri" w:eastAsia="Calibri" w:hAnsi="Calibri" w:cs="Times New Roman"/>
      <w:lang w:val="es-ES"/>
    </w:rPr>
  </w:style>
  <w:style w:type="paragraph" w:styleId="Subttulo">
    <w:name w:val="Subtitle"/>
    <w:basedOn w:val="Normal"/>
    <w:next w:val="Normal"/>
    <w:uiPriority w:val="11"/>
    <w:qFormat/>
    <w:rsid w:val="00351795"/>
    <w:rPr>
      <w:color w:val="595959"/>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FISm59foAqf/FIKtZh4XT+Ky1A==">CgMxLjA4AHIhMVRsdjdTMlZJSXNwdFpOQWVoZTl1SkpIY2o4SENmSUtE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431</Words>
  <Characters>2374</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aypisani</cp:lastModifiedBy>
  <cp:revision>5</cp:revision>
  <dcterms:created xsi:type="dcterms:W3CDTF">2026-08-19T20:57:00Z</dcterms:created>
  <dcterms:modified xsi:type="dcterms:W3CDTF">2026-08-31T15:23:00Z</dcterms:modified>
</cp:coreProperties>
</file>