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Visto: </w:t>
      </w:r>
    </w:p>
    <w:p w:rsidR="008F0718" w:rsidRDefault="008F0718" w:rsidP="008F0718">
      <w:pPr>
        <w:pStyle w:val="normal0"/>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El expediente nro. </w:t>
      </w:r>
      <w:r>
        <w:rPr>
          <w:rFonts w:ascii="Times New Roman" w:eastAsia="Times New Roman" w:hAnsi="Times New Roman" w:cs="Times New Roman"/>
          <w:sz w:val="24"/>
          <w:szCs w:val="24"/>
        </w:rPr>
        <w:t>316</w:t>
      </w:r>
      <w:r>
        <w:rPr>
          <w:rFonts w:ascii="Times New Roman" w:eastAsia="Times New Roman" w:hAnsi="Times New Roman" w:cs="Times New Roman"/>
          <w:color w:val="000000"/>
          <w:sz w:val="24"/>
          <w:szCs w:val="24"/>
        </w:rPr>
        <w:t xml:space="preserve">-D-2026 de autoría de la Diputada </w:t>
      </w:r>
      <w:r>
        <w:rPr>
          <w:rFonts w:ascii="Times New Roman" w:eastAsia="Times New Roman" w:hAnsi="Times New Roman" w:cs="Times New Roman"/>
          <w:sz w:val="24"/>
          <w:szCs w:val="24"/>
        </w:rPr>
        <w:t>CRUCITTA ALDANA BELÉN</w:t>
      </w:r>
      <w:r>
        <w:rPr>
          <w:rFonts w:ascii="Times New Roman" w:eastAsia="Times New Roman" w:hAnsi="Times New Roman" w:cs="Times New Roman"/>
          <w:color w:val="000000"/>
          <w:sz w:val="24"/>
          <w:szCs w:val="24"/>
        </w:rPr>
        <w:t xml:space="preserve"> y coautoría de los/as Diputados/as </w:t>
      </w:r>
      <w:r>
        <w:rPr>
          <w:rFonts w:ascii="Times New Roman" w:eastAsia="Times New Roman" w:hAnsi="Times New Roman" w:cs="Times New Roman"/>
          <w:sz w:val="24"/>
          <w:szCs w:val="24"/>
        </w:rPr>
        <w:t>LOUPIAS FRANCISCO y MOLLARD MARÍA FERNANDA</w:t>
      </w:r>
      <w:r>
        <w:rPr>
          <w:rFonts w:ascii="Times New Roman" w:eastAsia="Times New Roman" w:hAnsi="Times New Roman" w:cs="Times New Roman"/>
          <w:color w:val="000000"/>
          <w:sz w:val="24"/>
          <w:szCs w:val="24"/>
        </w:rPr>
        <w:t xml:space="preserve">, proyecto de </w:t>
      </w:r>
      <w:r>
        <w:rPr>
          <w:rFonts w:ascii="Times New Roman" w:eastAsia="Times New Roman" w:hAnsi="Times New Roman" w:cs="Times New Roman"/>
          <w:sz w:val="24"/>
          <w:szCs w:val="24"/>
        </w:rPr>
        <w:t>l</w:t>
      </w:r>
      <w:r>
        <w:rPr>
          <w:rFonts w:ascii="Times New Roman" w:eastAsia="Times New Roman" w:hAnsi="Times New Roman" w:cs="Times New Roman"/>
          <w:color w:val="000000"/>
          <w:sz w:val="24"/>
          <w:szCs w:val="24"/>
        </w:rPr>
        <w:t xml:space="preserve">ey que tiene por objeto </w:t>
      </w:r>
      <w:r>
        <w:rPr>
          <w:rFonts w:ascii="Times New Roman" w:eastAsia="Times New Roman" w:hAnsi="Times New Roman" w:cs="Times New Roman"/>
          <w:sz w:val="24"/>
          <w:szCs w:val="24"/>
        </w:rPr>
        <w:t xml:space="preserve">crear el programa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“saberes que abrigan”; y el expediente nro. 1408-D-2026 de autoría del Diputado ERNST MARCELO GREGORIO y coautoría de los/as Diputados/as ARENAZA JUAN PABLO, FERNÁNDEZ JUAN IGNACIO, FLEITAS REBECA, FREGUIA ANDREA, IMAS SILVIA, KIENAST MARINA, MONTENEGRO LUCÍA, PELAYO SOLANA, RAMÍREZ</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MARÍA DEL PILAR y SAIFERT, LEONARDO, proyecto de ley que tiene por objeto crear el programa de tutoría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y, </w:t>
      </w:r>
    </w:p>
    <w:p w:rsidR="008F0718" w:rsidRDefault="008F0718" w:rsidP="008F0718">
      <w:pPr>
        <w:pStyle w:val="normal0"/>
        <w:spacing w:after="0" w:line="360" w:lineRule="auto"/>
        <w:rPr>
          <w:rFonts w:ascii="Times New Roman" w:eastAsia="Times New Roman" w:hAnsi="Times New Roman" w:cs="Times New Roman"/>
          <w:sz w:val="24"/>
          <w:szCs w:val="24"/>
        </w:rPr>
      </w:pP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Considerando: </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Que </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xml:space="preserve">l presente proyecto de ley tiene por objeto crear un Programa </w:t>
      </w:r>
      <w:proofErr w:type="spellStart"/>
      <w:r>
        <w:rPr>
          <w:rFonts w:ascii="Times New Roman" w:eastAsia="Times New Roman" w:hAnsi="Times New Roman" w:cs="Times New Roman"/>
          <w:color w:val="000000"/>
          <w:sz w:val="24"/>
          <w:szCs w:val="24"/>
        </w:rPr>
        <w:t>Intergeneracional</w:t>
      </w:r>
      <w:proofErr w:type="spellEnd"/>
      <w:r>
        <w:rPr>
          <w:rFonts w:ascii="Times New Roman" w:eastAsia="Times New Roman" w:hAnsi="Times New Roman" w:cs="Times New Roman"/>
          <w:color w:val="000000"/>
          <w:sz w:val="24"/>
          <w:szCs w:val="24"/>
        </w:rPr>
        <w:t>, una iniciativa con un profundo enfoque humano y social, orientada a promover el intercambio entre niños, niñas y adolescentes y personas mayores, favoreciendo la integración social y el acceso a herramientas digitales, en atención a las dificultades que este grupo etario enfrenta con respecto al acceso a determinadas tecnologías. Por ende, este proyecto apunta a desarrollar actividades, orientadas al aprendizaje recíproco y al fortalecimiento de los vínculos sociales.</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a</w:t>
      </w:r>
      <w:r>
        <w:rPr>
          <w:rFonts w:ascii="Times New Roman" w:eastAsia="Times New Roman" w:hAnsi="Times New Roman" w:cs="Times New Roman"/>
          <w:color w:val="000000"/>
          <w:sz w:val="24"/>
          <w:szCs w:val="24"/>
        </w:rPr>
        <w:t xml:space="preserve">simismo, se propone la construcción de un puente </w:t>
      </w:r>
      <w:proofErr w:type="spellStart"/>
      <w:r>
        <w:rPr>
          <w:rFonts w:ascii="Times New Roman" w:eastAsia="Times New Roman" w:hAnsi="Times New Roman" w:cs="Times New Roman"/>
          <w:color w:val="000000"/>
          <w:sz w:val="24"/>
          <w:szCs w:val="24"/>
        </w:rPr>
        <w:t>intergeneracional</w:t>
      </w:r>
      <w:proofErr w:type="spellEnd"/>
      <w:r>
        <w:rPr>
          <w:rFonts w:ascii="Times New Roman" w:eastAsia="Times New Roman" w:hAnsi="Times New Roman" w:cs="Times New Roman"/>
          <w:color w:val="000000"/>
          <w:sz w:val="24"/>
          <w:szCs w:val="24"/>
        </w:rPr>
        <w:t>. No se trata únicamente de un programa de talleres, sino de una política pública de envejecimiento activo. Ello, en concordancia con lo establecido por la Convención Interamericana sobre la Protección de los Derechos Humanos de las Personas Mayores, aprobada por la Organización de los Estados Americanos en el año 2015 y ratificada por Ley Nacional N°27.360 la cual reconoce a las personas mayores como sujetos plenos de derechos y promueve la inclusión social sin discriminación por edad.</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e</w:t>
      </w:r>
      <w:r>
        <w:rPr>
          <w:rFonts w:ascii="Times New Roman" w:eastAsia="Times New Roman" w:hAnsi="Times New Roman" w:cs="Times New Roman"/>
          <w:color w:val="000000"/>
          <w:sz w:val="24"/>
          <w:szCs w:val="24"/>
        </w:rPr>
        <w:t>n una sociedad atravesada por el envejecimiento poblacional, la tendencia demográfica actual indica un aumento sostenido de la esperanza de vida. Sin embargo, vivir más años no siempre se traduce en vivir con mayor calidad. La soledad no deseada se ha convertido en una verdadera “epidemia silenciosa” del siglo XXI, estrechamente vinculada al deterioro cognitivo, emocional y social.</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c</w:t>
      </w:r>
      <w:r>
        <w:rPr>
          <w:rFonts w:ascii="Times New Roman" w:eastAsia="Times New Roman" w:hAnsi="Times New Roman" w:cs="Times New Roman"/>
          <w:color w:val="000000"/>
          <w:sz w:val="24"/>
          <w:szCs w:val="24"/>
        </w:rPr>
        <w:t>onsecuentemente, se hace saber que la Ciudad atraviesa un proceso sostenido de envejecimiento demográfico. Según datos oficiales, más del 20% de su población tiene 60 años o más, lo que la posiciona como una de las jurisdicciones más envejecidas del país. Este fenómeno no debe ser entendido únicamente como un desafío asistencial, sino como una oportunidad para fortalecer el tejido social y promover nuevos esquemas de integración comunitaria.</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Que p</w:t>
      </w:r>
      <w:r>
        <w:rPr>
          <w:rFonts w:ascii="Times New Roman" w:eastAsia="Times New Roman" w:hAnsi="Times New Roman" w:cs="Times New Roman"/>
          <w:color w:val="000000"/>
          <w:sz w:val="24"/>
          <w:szCs w:val="24"/>
        </w:rPr>
        <w:t xml:space="preserve">aralelamente, las juventudes se desarrollan en un contexto marcado por la aceleración tecnológica, la </w:t>
      </w:r>
      <w:proofErr w:type="spellStart"/>
      <w:r>
        <w:rPr>
          <w:rFonts w:ascii="Times New Roman" w:eastAsia="Times New Roman" w:hAnsi="Times New Roman" w:cs="Times New Roman"/>
          <w:color w:val="000000"/>
          <w:sz w:val="24"/>
          <w:szCs w:val="24"/>
        </w:rPr>
        <w:t>virtualización</w:t>
      </w:r>
      <w:proofErr w:type="spellEnd"/>
      <w:r>
        <w:rPr>
          <w:rFonts w:ascii="Times New Roman" w:eastAsia="Times New Roman" w:hAnsi="Times New Roman" w:cs="Times New Roman"/>
          <w:color w:val="000000"/>
          <w:sz w:val="24"/>
          <w:szCs w:val="24"/>
        </w:rPr>
        <w:t xml:space="preserve"> de los vínculos, y la progresiva pérdida de los denominados ‘terceros espacios’ -aquellos ámbitos comunitarios informales donde tradicionalmente se producía el intercambio generacional- ha debilitado los vínculos sociales entre generaciones, incrementando el aislamiento de la ciudadanía. Producto de ello, se han reducido significativamente las instancias de intercambio entre generaciones, debilitando la transmisión de experiencias, y valores.</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e</w:t>
      </w:r>
      <w:r>
        <w:rPr>
          <w:rFonts w:ascii="Times New Roman" w:eastAsia="Times New Roman" w:hAnsi="Times New Roman" w:cs="Times New Roman"/>
          <w:color w:val="000000"/>
          <w:sz w:val="24"/>
          <w:szCs w:val="24"/>
        </w:rPr>
        <w:t>n este contexto, resulta imprescindible generar políticas públicas que fomenten el encuentro entre generaciones. En una era marcada por la virtualidad, el contacto directo con la experiencia de las personas mayores devuelve a niñas, niños y jóvenes el valor de lo tangible, les brinda herramientas concretas para su futuro y les ofrece referentes afectivos que promueven una integración social sana, libre de prejuicios y estigmatizaciones.</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e</w:t>
      </w:r>
      <w:r>
        <w:rPr>
          <w:rFonts w:ascii="Times New Roman" w:eastAsia="Times New Roman" w:hAnsi="Times New Roman" w:cs="Times New Roman"/>
          <w:color w:val="000000"/>
          <w:sz w:val="24"/>
          <w:szCs w:val="24"/>
        </w:rPr>
        <w:t xml:space="preserve">l aprendizaje </w:t>
      </w:r>
      <w:proofErr w:type="spellStart"/>
      <w:r>
        <w:rPr>
          <w:rFonts w:ascii="Times New Roman" w:eastAsia="Times New Roman" w:hAnsi="Times New Roman" w:cs="Times New Roman"/>
          <w:color w:val="000000"/>
          <w:sz w:val="24"/>
          <w:szCs w:val="24"/>
        </w:rPr>
        <w:t>intergeneracional</w:t>
      </w:r>
      <w:proofErr w:type="spellEnd"/>
      <w:r>
        <w:rPr>
          <w:rFonts w:ascii="Times New Roman" w:eastAsia="Times New Roman" w:hAnsi="Times New Roman" w:cs="Times New Roman"/>
          <w:color w:val="000000"/>
          <w:sz w:val="24"/>
          <w:szCs w:val="24"/>
        </w:rPr>
        <w:t xml:space="preserve"> rompe con la segmentación etaria y fomenta la empatía, el respeto y la valoración de la vejez, contribuyendo a combatir el </w:t>
      </w:r>
      <w:proofErr w:type="spellStart"/>
      <w:r>
        <w:rPr>
          <w:rFonts w:ascii="Times New Roman" w:eastAsia="Times New Roman" w:hAnsi="Times New Roman" w:cs="Times New Roman"/>
          <w:color w:val="000000"/>
          <w:sz w:val="24"/>
          <w:szCs w:val="24"/>
        </w:rPr>
        <w:t>edadismo</w:t>
      </w:r>
      <w:proofErr w:type="spellEnd"/>
      <w:r>
        <w:rPr>
          <w:rFonts w:ascii="Times New Roman" w:eastAsia="Times New Roman" w:hAnsi="Times New Roman" w:cs="Times New Roman"/>
          <w:color w:val="000000"/>
          <w:sz w:val="24"/>
          <w:szCs w:val="24"/>
        </w:rPr>
        <w:t>, una forma de discriminación muchas veces naturalizada.</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e</w:t>
      </w:r>
      <w:r>
        <w:rPr>
          <w:rFonts w:ascii="Times New Roman" w:eastAsia="Times New Roman" w:hAnsi="Times New Roman" w:cs="Times New Roman"/>
          <w:color w:val="000000"/>
          <w:sz w:val="24"/>
          <w:szCs w:val="24"/>
        </w:rPr>
        <w:t>n este marco, resulta fundamental reconocer el rol estratégico de las organizaciones no gubernamentales, fundaciones y asociaciones civiles especializadas en trabajo con personas mayores, juventudes y proyectos comunitarios; dado que son actores idóneos para el diseño, ejecución de talleres y actividades en el marco de dicho Programa.</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l</w:t>
      </w:r>
      <w:r>
        <w:rPr>
          <w:rFonts w:ascii="Times New Roman" w:eastAsia="Times New Roman" w:hAnsi="Times New Roman" w:cs="Times New Roman"/>
          <w:color w:val="000000"/>
          <w:sz w:val="24"/>
          <w:szCs w:val="24"/>
        </w:rPr>
        <w:t>a articulación entre el Gobierno de la Ciudad, el sistema educativo y las organizaciones comunitarias permite optimizar recursos, evitar estructuras administrativas innecesarias y garantizar una implementación eficiente.</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Que, d</w:t>
      </w:r>
      <w:r>
        <w:rPr>
          <w:rFonts w:ascii="Times New Roman" w:eastAsia="Times New Roman" w:hAnsi="Times New Roman" w:cs="Times New Roman"/>
          <w:color w:val="000000"/>
          <w:sz w:val="24"/>
          <w:szCs w:val="24"/>
        </w:rPr>
        <w:t>e igual modo, el programa no implica sustitución de personal profesional ni generación de vínculos laborales, sino que el objetivo del mismo es fomentar actividades  formativas, solidarias y comunitarias, preservando los límites institucionales y garantizando el respeto a la dignidad y autonomía de las personas mayores.</w:t>
      </w:r>
    </w:p>
    <w:p w:rsidR="008F0718" w:rsidRDefault="008F0718" w:rsidP="008F0718">
      <w:pPr>
        <w:pStyle w:val="normal0"/>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Pr>
          <w:rFonts w:ascii="Times New Roman" w:eastAsia="Times New Roman" w:hAnsi="Times New Roman" w:cs="Times New Roman"/>
          <w:color w:val="000000"/>
          <w:sz w:val="24"/>
          <w:szCs w:val="24"/>
        </w:rPr>
        <w:t>n definitiva, se busca construir comunidad, fortalecer los lazos sociales y promover una Ciudad más justa, solidaria e inclusiva, en la que todas las edades tengan un rol activo y valorado.</w:t>
      </w:r>
    </w:p>
    <w:p w:rsidR="008F0718" w:rsidRDefault="008F0718" w:rsidP="008F0718">
      <w:pPr>
        <w:pStyle w:val="normal0"/>
        <w:spacing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Por lo expuesto, esta Comisión Permanente de Personas Mayores aconseja la aprobación de la siguiente </w:t>
      </w:r>
    </w:p>
    <w:p w:rsidR="008F0718" w:rsidRDefault="008F0718" w:rsidP="008F0718">
      <w:pPr>
        <w:pStyle w:val="normal0"/>
        <w:spacing w:line="360" w:lineRule="auto"/>
        <w:ind w:firstLine="708"/>
        <w:jc w:val="both"/>
        <w:rPr>
          <w:rFonts w:ascii="Times New Roman" w:eastAsia="Times New Roman" w:hAnsi="Times New Roman" w:cs="Times New Roman"/>
          <w:sz w:val="24"/>
          <w:szCs w:val="24"/>
        </w:rPr>
      </w:pPr>
    </w:p>
    <w:p w:rsidR="008F0718" w:rsidRDefault="008F0718" w:rsidP="008F0718">
      <w:pPr>
        <w:pStyle w:val="normal0"/>
        <w:spacing w:line="360" w:lineRule="auto"/>
        <w:ind w:firstLine="708"/>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LEY</w:t>
      </w:r>
    </w:p>
    <w:p w:rsidR="008F0718" w:rsidRDefault="008F0718" w:rsidP="008F0718">
      <w:pPr>
        <w:pStyle w:val="norm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PROGRAMA INTERGENERACIONAL “SABERES QUE ABRIGAN”</w:t>
      </w:r>
    </w:p>
    <w:p w:rsidR="008F0718" w:rsidRDefault="008F0718" w:rsidP="008F0718">
      <w:pPr>
        <w:pStyle w:val="normal0"/>
        <w:spacing w:line="360" w:lineRule="auto"/>
        <w:ind w:firstLine="708"/>
        <w:jc w:val="center"/>
        <w:rPr>
          <w:rFonts w:ascii="Times New Roman" w:eastAsia="Times New Roman" w:hAnsi="Times New Roman" w:cs="Times New Roman"/>
          <w:b/>
          <w:bCs/>
          <w:sz w:val="24"/>
          <w:szCs w:val="24"/>
        </w:rPr>
      </w:pP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 Creación.</w:t>
      </w:r>
      <w:r>
        <w:rPr>
          <w:rFonts w:ascii="Times New Roman" w:eastAsia="Times New Roman" w:hAnsi="Times New Roman" w:cs="Times New Roman"/>
          <w:sz w:val="24"/>
          <w:szCs w:val="24"/>
        </w:rPr>
        <w:t xml:space="preserve"> Créase en el ámbito del Gobierno de la Ciudad Autónoma de Buenos Aires el Programa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“Saberes que Abrigan”, destinado a promover el intercambio de conocimientos y experiencias entre personas mayores y niños, niñas y adolescentes, favoreciendo la integración social, el aprendizaje recíproco y la inclusión digital.</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mismo fomentará la participación de residencias para personas mayores, centros de jubilados y pensionados, organizaciones de la sociedad civil y establecimientos educativos de nivel primario y medio, a través del dictado de cursos y talleres de carácter educativo, cultural, artístico y de oficios.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2°.- Finalidad.</w:t>
      </w:r>
      <w:r>
        <w:rPr>
          <w:rFonts w:ascii="Times New Roman" w:eastAsia="Times New Roman" w:hAnsi="Times New Roman" w:cs="Times New Roman"/>
          <w:sz w:val="24"/>
          <w:szCs w:val="24"/>
        </w:rPr>
        <w:t xml:space="preserve"> A los fines de la presente ley, se entiende por intercambio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la transmisión recíproca de saberes entre generaciones, promoviendo que las personas </w:t>
      </w:r>
      <w:proofErr w:type="gramStart"/>
      <w:r>
        <w:rPr>
          <w:rFonts w:ascii="Times New Roman" w:eastAsia="Times New Roman" w:hAnsi="Times New Roman" w:cs="Times New Roman"/>
          <w:sz w:val="24"/>
          <w:szCs w:val="24"/>
        </w:rPr>
        <w:t>mayores</w:t>
      </w:r>
      <w:proofErr w:type="gramEnd"/>
      <w:r>
        <w:rPr>
          <w:rFonts w:ascii="Times New Roman" w:eastAsia="Times New Roman" w:hAnsi="Times New Roman" w:cs="Times New Roman"/>
          <w:sz w:val="24"/>
          <w:szCs w:val="24"/>
        </w:rPr>
        <w:t xml:space="preserve"> compartan sus conocimientos, trayectorias y experiencias, y que los niños, niñas y adolescentes contribuyan, entre otros aspectos, al aprendizaje digital, tecnológico y comunicacional.</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3°.- Objetivos.</w:t>
      </w:r>
      <w:r>
        <w:rPr>
          <w:rFonts w:ascii="Times New Roman" w:eastAsia="Times New Roman" w:hAnsi="Times New Roman" w:cs="Times New Roman"/>
          <w:sz w:val="24"/>
          <w:szCs w:val="24"/>
        </w:rPr>
        <w:t xml:space="preserve"> Son objetivos del Programa:</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revalorizar los saberes, la experiencia y la trayectoria de las personas mayores, promoviendo su participación activa en la comunidad;</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 xml:space="preserve">fortalecer los vínculos </w:t>
      </w:r>
      <w:proofErr w:type="spellStart"/>
      <w:r>
        <w:rPr>
          <w:rFonts w:ascii="Times New Roman" w:eastAsia="Times New Roman" w:hAnsi="Times New Roman" w:cs="Times New Roman"/>
          <w:sz w:val="24"/>
          <w:szCs w:val="24"/>
        </w:rPr>
        <w:t>intergeneracionales</w:t>
      </w:r>
      <w:proofErr w:type="spellEnd"/>
      <w:r>
        <w:rPr>
          <w:rFonts w:ascii="Times New Roman" w:eastAsia="Times New Roman" w:hAnsi="Times New Roman" w:cs="Times New Roman"/>
          <w:sz w:val="24"/>
          <w:szCs w:val="24"/>
        </w:rPr>
        <w:t>, fomentando el respeto, la solidaridad y la transmisión recíproca de conocimientos entre generaciones;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ab/>
        <w:t>promover la participación activa de las personas mayores en espacios educativos y comunitarios, reconociendo sus saberes, experiencias y trayectorias como aporte valioso para la formación de las nuevas generaciones; y</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sz w:val="24"/>
          <w:szCs w:val="24"/>
        </w:rPr>
        <w:tab/>
        <w:t xml:space="preserve">diseñar y promover actividades de intercambio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que contemplen tanto los saberes, experiencias e intereses de las personas mayores, como las habilidades, conocimientos y perspectivas de los estudiantes, favoreciendo una participación activa y recíproca entre ambas generaciones.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4°.- Destinatarios.</w:t>
      </w:r>
      <w:r>
        <w:rPr>
          <w:rFonts w:ascii="Times New Roman" w:eastAsia="Times New Roman" w:hAnsi="Times New Roman" w:cs="Times New Roman"/>
          <w:sz w:val="24"/>
          <w:szCs w:val="24"/>
        </w:rPr>
        <w:t xml:space="preserve"> Podrán participar del Programa:</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personas mayores, entendiendo por tales a aquellas de sesenta (60) años o más, domiciliadas en la Ciudad Autónoma de Buenos Aires, con conocimientos, saberes en áreas tales como oficios, artes, cultura, ciencias, tecnología, historia, literatura, música, cocina, huerta, entre otros; y</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niños, niñas y adolescentes que participen en actividades desarrolladas por instituciones u organizaciones adheridas al Programa, conforme su modalidad de implementación.</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Artículo 5°.- Ámbito de aplicación.</w:t>
      </w:r>
      <w:r>
        <w:rPr>
          <w:rFonts w:ascii="Times New Roman" w:eastAsia="Times New Roman" w:hAnsi="Times New Roman" w:cs="Times New Roman"/>
          <w:sz w:val="24"/>
          <w:szCs w:val="24"/>
        </w:rPr>
        <w:t xml:space="preserve"> La presente ley será de aplicación en el territorio de la Ciudad Autónoma de Buenos Aires, e incluirá:</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establecimientos educativos de gestión estatal y privada reconocidos por el Ministerio de Educación de la Ciudad Autónoma de Buenos Aires;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residencias para personas mayores de gestión pública y privada debidamente habilitadas por el Gobierno de la Ciudad Autónoma de Buenos Aires;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ab/>
        <w:t>centros de jubilados y pensionados inscriptos en el Registro de organizaciones de Acción Comunitaria (ROAC);</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sz w:val="24"/>
          <w:szCs w:val="24"/>
        </w:rPr>
        <w:tab/>
        <w:t>centros culturales, clubes de barrio, centros de día y espacios comunitarios; y</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ab/>
        <w:t>las organizaciones no gubernamentales, asociaciones civiles, fundaciones y demás entidades sin fines de lucro con personería jurídica vigente.</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organización horaria y la frecuencia de las actividades serán determinadas de común acuerdo entre las instituciones participantes y la autoridad de aplicación, conforme la reglamentación. La presente enumeración es de carácter enunciativo y no taxativo.</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6°.- Reconocimiento y apoyo operativo.</w:t>
      </w:r>
      <w:r>
        <w:rPr>
          <w:rFonts w:ascii="Times New Roman" w:eastAsia="Times New Roman" w:hAnsi="Times New Roman" w:cs="Times New Roman"/>
          <w:sz w:val="24"/>
          <w:szCs w:val="24"/>
        </w:rPr>
        <w:t xml:space="preserve"> La participación en el Programa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“Saberes que Abrigan” será de carácter voluntario para los establecimientos, instituciones y entidades comprendidas en el ámbito de aplicación de la presente Ley, quienes podrán adherir conforme las condiciones y procedimientos que establezca la reglamentación.</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Autoridad de Aplicación podrá facilitar, directamente o mediante convenios con las instituciones adheridas o actores del sector privado, los recursos materiales, insumos, espacios, traslados u otros apoyos necesarios para el desarrollo de las actividades, conforme la reglamentación y la disponibilidad presupuestaria.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deberá relevar y sistematizar las modalidades de reconocimiento otorgadas a las personas mayores participantes, incluyendo, cuando corresponda, la existencia de compensaciones económicas, viáticos, becas, estipendios, aportes institucionales o cualquier otro mecanismo de apoyo brindado por las instituciones adheridas, organizaciones intervinientes o actores privados.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7°.- Participación y Adhesión.</w:t>
      </w:r>
      <w:r>
        <w:rPr>
          <w:rFonts w:ascii="Times New Roman" w:eastAsia="Times New Roman" w:hAnsi="Times New Roman" w:cs="Times New Roman"/>
          <w:sz w:val="24"/>
          <w:szCs w:val="24"/>
        </w:rPr>
        <w:t xml:space="preserve"> La participación en el Programa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“Saberes que Abrigan” será voluntaria para los establecimientos o instituciones que deseen adherir al programa.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establecimientos e instituciones que adhieran al Programa determinarán, de conformidad con su proyecto institucional, criterios pedagógicos y capacidades operativas, los cursos, grupos, estudiantes o personas mayores que participarán de las actividades previstas.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Asimismo, podrán proponer y desarrollar talleres, encuentros y actividades </w:t>
      </w:r>
      <w:proofErr w:type="spellStart"/>
      <w:r>
        <w:rPr>
          <w:rFonts w:ascii="Times New Roman" w:eastAsia="Times New Roman" w:hAnsi="Times New Roman" w:cs="Times New Roman"/>
          <w:sz w:val="24"/>
          <w:szCs w:val="24"/>
        </w:rPr>
        <w:t>intergeneracionales</w:t>
      </w:r>
      <w:proofErr w:type="spellEnd"/>
      <w:r>
        <w:rPr>
          <w:rFonts w:ascii="Times New Roman" w:eastAsia="Times New Roman" w:hAnsi="Times New Roman" w:cs="Times New Roman"/>
          <w:sz w:val="24"/>
          <w:szCs w:val="24"/>
        </w:rPr>
        <w:t>, conforme los lineamientos generales que establezca la autoridad.</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adhesión al Programa se efectuará mediante un procedimiento simplificado, accesible y preferentemente digital, de acuerdo con lo que establezca la reglamentación.</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8°.- Naturaleza de las actividades.</w:t>
      </w:r>
      <w:r>
        <w:rPr>
          <w:rFonts w:ascii="Times New Roman" w:eastAsia="Times New Roman" w:hAnsi="Times New Roman" w:cs="Times New Roman"/>
          <w:sz w:val="24"/>
          <w:szCs w:val="24"/>
        </w:rPr>
        <w:t xml:space="preserve"> Las actividades no implicarán en ningún caso la sustitución de personal profesional o asistencial de las instituciones participantes, ni generarán relación laboral, entre los participantes y el Gobierno de la Ciudad.</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Todas las actividades deberán realizarse bajo supervisión institucional, garantizando el respeto a la dignidad, autonomía y derechos de todas las personas involucradas.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9°.- Actividades.</w:t>
      </w:r>
      <w:r>
        <w:rPr>
          <w:rFonts w:ascii="Times New Roman" w:eastAsia="Times New Roman" w:hAnsi="Times New Roman" w:cs="Times New Roman"/>
          <w:sz w:val="24"/>
          <w:szCs w:val="24"/>
        </w:rPr>
        <w:t xml:space="preserve"> Las actividades desarrolladas en el marco del Programa podrán incluir, entre otras: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encuentros recreativos, culturales y educativos;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talleres de intercambio de saberes entre generaciones, comprendiendo tanto talleres prácticos de tecnología a cargo de niños, niñas y adolescentes, como también formativos, laborales y de oficios a cargo de personas mayores, orientados a fortalecer la autonomía y la conexión social de estas últimas y a promover la transmisión recíproca de conocimientos y experiencias entre generaciones;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ab/>
        <w:t xml:space="preserve">actividades de acompañamiento social e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de carácter exclusivamente vincular y recreativo, que promuevan el encuentro entre niños, niñas, adolescentes y personas mayores, y que en ningún caso impliquen tareas de cuidado personal, asistencia sanitaria, apoyo terapéutico ni sustitución de funciones propias del personal profesional de las instituciones adheridas al programa; y/o</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sz w:val="24"/>
          <w:szCs w:val="24"/>
        </w:rPr>
        <w:tab/>
        <w:t xml:space="preserve">proyectos orientados a la recopilación sistemática de testimonios, al intercambio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de experiencias y a la preservación de la memoria de las personas mayores.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10.- Inscripción y participación.</w:t>
      </w:r>
      <w:r>
        <w:rPr>
          <w:rFonts w:ascii="Times New Roman" w:eastAsia="Times New Roman" w:hAnsi="Times New Roman" w:cs="Times New Roman"/>
          <w:sz w:val="24"/>
          <w:szCs w:val="24"/>
        </w:rPr>
        <w:t xml:space="preserve"> La inscripción y participación en el Programa </w:t>
      </w:r>
      <w:proofErr w:type="spellStart"/>
      <w:r>
        <w:rPr>
          <w:rFonts w:ascii="Times New Roman" w:eastAsia="Times New Roman" w:hAnsi="Times New Roman" w:cs="Times New Roman"/>
          <w:sz w:val="24"/>
          <w:szCs w:val="24"/>
        </w:rPr>
        <w:t>Intergeneracional</w:t>
      </w:r>
      <w:proofErr w:type="spellEnd"/>
      <w:r>
        <w:rPr>
          <w:rFonts w:ascii="Times New Roman" w:eastAsia="Times New Roman" w:hAnsi="Times New Roman" w:cs="Times New Roman"/>
          <w:sz w:val="24"/>
          <w:szCs w:val="24"/>
        </w:rPr>
        <w:t xml:space="preserve"> “Saberes que Abrigan” se regirá por las siguientes pautas: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personas mayores. Las personas mayores interesadas podrán inscribirse voluntariamente a fin de ofrecer sus conocimientos, saberes, experiencias, oficios, trayectorias laborales, culturales, educativas, artísticas o comunitarias, para su eventual incorporación en las actividades, talleres, encuentros o proyectos desarrollados en el marco del Programa.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inscripción podrá efectuarse mediante:</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plataformas digitales oficiales del Gobierno de la Ciudad Autónoma de Buenos Aires; o</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w:t>
      </w:r>
      <w:r>
        <w:rPr>
          <w:rFonts w:ascii="Times New Roman" w:eastAsia="Times New Roman" w:hAnsi="Times New Roman" w:cs="Times New Roman"/>
          <w:sz w:val="24"/>
          <w:szCs w:val="24"/>
        </w:rPr>
        <w:tab/>
        <w:t>inscripción presencial en sedes comunales, centros de jubilados y pensionados inscriptos en el ROAC, residencias para personas mayores adheridas al Programa y demás espacios que determine la autoridad de aplicación.</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 xml:space="preserve">instituciones, organizaciones y espacios comunitarios adheridos. Los establecimientos educativos de gestión estatal o privada, las organizaciones no gubernamentales, asociaciones civiles, fundaciones, centros culturales, clubes de barrio, centros de día y demás espacios comunitarios que adhieran al Programa podrán proponer, organizar o articular actividades </w:t>
      </w:r>
      <w:proofErr w:type="spellStart"/>
      <w:r>
        <w:rPr>
          <w:rFonts w:ascii="Times New Roman" w:eastAsia="Times New Roman" w:hAnsi="Times New Roman" w:cs="Times New Roman"/>
          <w:sz w:val="24"/>
          <w:szCs w:val="24"/>
        </w:rPr>
        <w:t>intergeneracionales</w:t>
      </w:r>
      <w:proofErr w:type="spellEnd"/>
      <w:r>
        <w:rPr>
          <w:rFonts w:ascii="Times New Roman" w:eastAsia="Times New Roman" w:hAnsi="Times New Roman" w:cs="Times New Roman"/>
          <w:sz w:val="24"/>
          <w:szCs w:val="24"/>
        </w:rPr>
        <w:t xml:space="preserve"> que contemplen la participación de niños, niñas, adolescentes y personas mayores, conforme las condiciones que establezca la reglamentación.</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todos los casos, la participación será voluntaria y el procedimiento de inscripción deberá ser accesible, simplificado y preferentemente digital, garantizando condiciones de equidad en el acceso al Programa. </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11.- Plataforma de inscripción e información</w:t>
      </w:r>
      <w:r>
        <w:rPr>
          <w:rFonts w:ascii="Times New Roman" w:eastAsia="Times New Roman" w:hAnsi="Times New Roman" w:cs="Times New Roman"/>
          <w:sz w:val="24"/>
          <w:szCs w:val="24"/>
        </w:rPr>
        <w:t>. La autoridad de aplicación deberá habilitar una plataforma digital, de acceso simple y gratuito, destinada a canalizar la inscripción de las personas mayores interesadas así como la adhesión de los establecimientos, instituciones, organizaciones y espacios comunitarios comprendidos en la presente Ley.</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plataforma deberá contener información clara, actualizada y accesible sobre las personas mayores inscriptas, las áreas temáticas ofrecidas, las actividades disponibles y los establecimientos, instituciones, organizaciones y espacios comunitarios adheridos, a fin de facilitar la vinculación entre quienes ofrecen actividades y quienes deseen incorporarlas en el marco del Programa.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12.- Autoridad de Aplicación</w:t>
      </w:r>
      <w:r>
        <w:rPr>
          <w:rFonts w:ascii="Times New Roman" w:eastAsia="Times New Roman" w:hAnsi="Times New Roman" w:cs="Times New Roman"/>
          <w:sz w:val="24"/>
          <w:szCs w:val="24"/>
        </w:rPr>
        <w:t>. La autoridad de aplicación de la presente ley será designada por el Poder Ejecutivo al momento de la reglamentación.</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13.- Funciones de la Autoridad de Aplicación</w:t>
      </w:r>
      <w:r>
        <w:rPr>
          <w:rFonts w:ascii="Times New Roman" w:eastAsia="Times New Roman" w:hAnsi="Times New Roman" w:cs="Times New Roman"/>
          <w:sz w:val="24"/>
          <w:szCs w:val="24"/>
        </w:rPr>
        <w:t>. La Autoridad de Aplicación tendrá a su cargo las siguientes funciones: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dictar la reglamentación necesaria para la implementación del Programa y establecer sus lineamientos operativos;</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rPr>
        <w:tab/>
        <w:t>determinar las condiciones y procedimientos para la inscripción de las personas mayores interesadas en ofrecer conocimientos, saberes, experiencias, talleres o actividades, y para la adhesión de los establecimientos, instituciones, organizaciones y espacios comunitarios comprendidos en la presente Ley;</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sz w:val="24"/>
          <w:szCs w:val="24"/>
        </w:rPr>
        <w:tab/>
        <w:t>implementar, administrar y mantener actualizada la plataforma digital del Programa, garantizando su accesibilidad, simplicidad de uso y disponibilidad de información para los sujetos participantes; y/o</w:t>
      </w:r>
    </w:p>
    <w:p w:rsidR="008F0718" w:rsidRDefault="008F0718" w:rsidP="008F0718">
      <w:pPr>
        <w:pStyle w:val="normal0"/>
        <w:spacing w:line="36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t>
      </w:r>
      <w:r>
        <w:rPr>
          <w:rFonts w:ascii="Times New Roman" w:eastAsia="Times New Roman" w:hAnsi="Times New Roman" w:cs="Times New Roman"/>
          <w:sz w:val="24"/>
          <w:szCs w:val="24"/>
        </w:rPr>
        <w:tab/>
        <w:t xml:space="preserve">coordinar la vinculación entre las personas mayores inscriptas y los establecimientos, instituciones, organizaciones y espacios comunitarios adheridos, a fin de facilitar el desarrollo de actividades </w:t>
      </w:r>
      <w:proofErr w:type="spellStart"/>
      <w:r>
        <w:rPr>
          <w:rFonts w:ascii="Times New Roman" w:eastAsia="Times New Roman" w:hAnsi="Times New Roman" w:cs="Times New Roman"/>
          <w:sz w:val="24"/>
          <w:szCs w:val="24"/>
        </w:rPr>
        <w:t>intergeneracionales</w:t>
      </w:r>
      <w:proofErr w:type="spellEnd"/>
      <w:r>
        <w:rPr>
          <w:rFonts w:ascii="Times New Roman" w:eastAsia="Times New Roman" w:hAnsi="Times New Roman" w:cs="Times New Roman"/>
          <w:sz w:val="24"/>
          <w:szCs w:val="24"/>
        </w:rPr>
        <w:t xml:space="preserve"> en el marco del Programa.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14.- Acompañamiento Pedagógico</w:t>
      </w:r>
      <w:r>
        <w:rPr>
          <w:rFonts w:ascii="Times New Roman" w:eastAsia="Times New Roman" w:hAnsi="Times New Roman" w:cs="Times New Roman"/>
          <w:sz w:val="24"/>
          <w:szCs w:val="24"/>
        </w:rPr>
        <w:t>. La autoridad de aplicación brindará a equipos directivos, docentes, estudiantes y personal de las instituciones que participen del Programa, herramientas pedagógicas básicas y acompañamiento técnico para el diseño de sus clases, asegurando que los contenidos sean adecuados a la edad de los destinatarios.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15.- Convenios y cooperación.</w:t>
      </w:r>
      <w:r>
        <w:rPr>
          <w:rFonts w:ascii="Times New Roman" w:eastAsia="Times New Roman" w:hAnsi="Times New Roman" w:cs="Times New Roman"/>
          <w:sz w:val="24"/>
          <w:szCs w:val="24"/>
        </w:rPr>
        <w:t xml:space="preserve"> La Autoridad de Aplicación podrá celebrar convenios con actores del sector privado, a los efectos de ejecutar dicho Programa, pudiendo establecer esquemas de cooperación técnica, voluntariado, patrocinio conforme lo determine la reglamentación y la disponibilidad presupuestaria.</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16.- Publicidad.</w:t>
      </w:r>
      <w:r>
        <w:rPr>
          <w:rFonts w:ascii="Times New Roman" w:eastAsia="Times New Roman" w:hAnsi="Times New Roman" w:cs="Times New Roman"/>
          <w:sz w:val="24"/>
          <w:szCs w:val="24"/>
        </w:rPr>
        <w:t xml:space="preserve"> La autoridad de aplicación deberá garantizar una amplia difusión del Programa, informando requisitos, modalidades de inscripción y características de los talleres.</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17.- Presupuesto.</w:t>
      </w:r>
      <w:r>
        <w:rPr>
          <w:rFonts w:ascii="Times New Roman" w:eastAsia="Times New Roman" w:hAnsi="Times New Roman" w:cs="Times New Roman"/>
          <w:sz w:val="24"/>
          <w:szCs w:val="24"/>
        </w:rPr>
        <w:t xml:space="preserve"> Los gastos que demande la implementación del presente Programa serán atendidos con las partidas presupuestarias que a tal efecto se asignen en el Presupuesto General de la Ciudad Autónoma de Buenos Aires.</w:t>
      </w:r>
    </w:p>
    <w:p w:rsidR="008F0718" w:rsidRDefault="008F0718" w:rsidP="008F0718">
      <w:pPr>
        <w:pStyle w:val="norm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Artículo 18.- Reglamentación.</w:t>
      </w:r>
      <w:r>
        <w:rPr>
          <w:rFonts w:ascii="Times New Roman" w:eastAsia="Times New Roman" w:hAnsi="Times New Roman" w:cs="Times New Roman"/>
          <w:sz w:val="24"/>
          <w:szCs w:val="24"/>
        </w:rPr>
        <w:t xml:space="preserve"> El Poder Ejecutivo reglamentará la presente ley dentro de los ciento ochenta (180) días de su promulgación.</w:t>
      </w:r>
    </w:p>
    <w:p w:rsidR="008F0718" w:rsidRDefault="008F0718" w:rsidP="008F0718">
      <w:pPr>
        <w:pStyle w:val="norm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19.- </w:t>
      </w:r>
      <w:r>
        <w:rPr>
          <w:rFonts w:ascii="Times New Roman" w:eastAsia="Times New Roman" w:hAnsi="Times New Roman" w:cs="Times New Roman"/>
          <w:sz w:val="24"/>
          <w:szCs w:val="24"/>
        </w:rPr>
        <w:t>Comuníquese, etc.</w:t>
      </w:r>
    </w:p>
    <w:p w:rsidR="008F0718" w:rsidRDefault="008F0718" w:rsidP="008F0718">
      <w:pPr>
        <w:pStyle w:val="normal0"/>
        <w:spacing w:after="0" w:line="360" w:lineRule="auto"/>
        <w:rPr>
          <w:rFonts w:ascii="Times New Roman" w:eastAsia="Times New Roman" w:hAnsi="Times New Roman" w:cs="Times New Roman"/>
          <w:sz w:val="24"/>
          <w:szCs w:val="24"/>
        </w:rPr>
      </w:pPr>
    </w:p>
    <w:p w:rsidR="008F0718" w:rsidRDefault="008F0718" w:rsidP="008F0718">
      <w:pPr>
        <w:pStyle w:val="normal0"/>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Salas de Comisión, 9 de </w:t>
      </w:r>
      <w:r>
        <w:rPr>
          <w:rFonts w:ascii="Times New Roman" w:eastAsia="Times New Roman" w:hAnsi="Times New Roman" w:cs="Times New Roman"/>
          <w:sz w:val="24"/>
          <w:szCs w:val="24"/>
        </w:rPr>
        <w:t>septiembre</w:t>
      </w:r>
      <w:r>
        <w:rPr>
          <w:rFonts w:ascii="Times New Roman" w:eastAsia="Times New Roman" w:hAnsi="Times New Roman" w:cs="Times New Roman"/>
          <w:color w:val="000000"/>
          <w:sz w:val="24"/>
          <w:szCs w:val="24"/>
        </w:rPr>
        <w:t xml:space="preserve"> de 2026.</w:t>
      </w:r>
    </w:p>
    <w:tbl>
      <w:tblPr>
        <w:tblW w:w="7380" w:type="dxa"/>
        <w:tblInd w:w="-108" w:type="dxa"/>
        <w:tblLayout w:type="fixed"/>
        <w:tblLook w:val="0400"/>
      </w:tblPr>
      <w:tblGrid>
        <w:gridCol w:w="3543"/>
        <w:gridCol w:w="3837"/>
      </w:tblGrid>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Diputada María Graciela Ocaña</w:t>
            </w: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Presidente</w:t>
            </w:r>
          </w:p>
        </w:tc>
        <w:tc>
          <w:tcPr>
            <w:tcW w:w="3837"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Diputada Noemí </w:t>
            </w:r>
            <w:proofErr w:type="spellStart"/>
            <w:r>
              <w:rPr>
                <w:rFonts w:ascii="Times New Roman" w:eastAsia="Times New Roman" w:hAnsi="Times New Roman" w:cs="Times New Roman"/>
                <w:b/>
                <w:bCs/>
                <w:color w:val="000000"/>
                <w:sz w:val="24"/>
                <w:szCs w:val="24"/>
              </w:rPr>
              <w:t>Geminiani</w:t>
            </w:r>
            <w:proofErr w:type="spellEnd"/>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Vicepresidente</w:t>
            </w:r>
          </w:p>
        </w:tc>
      </w:tr>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8F0718" w:rsidRDefault="008F0718" w:rsidP="007A154E">
            <w:pPr>
              <w:pStyle w:val="normal0"/>
              <w:spacing w:after="240" w:line="360" w:lineRule="auto"/>
              <w:rPr>
                <w:rFonts w:ascii="Times New Roman" w:eastAsia="Times New Roman" w:hAnsi="Times New Roman" w:cs="Times New Roman"/>
                <w:sz w:val="24"/>
                <w:szCs w:val="24"/>
              </w:rPr>
            </w:pP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Diputado Pablo </w:t>
            </w:r>
            <w:proofErr w:type="spellStart"/>
            <w:r>
              <w:rPr>
                <w:rFonts w:ascii="Times New Roman" w:eastAsia="Times New Roman" w:hAnsi="Times New Roman" w:cs="Times New Roman"/>
                <w:b/>
                <w:bCs/>
                <w:color w:val="000000"/>
                <w:sz w:val="24"/>
                <w:szCs w:val="24"/>
              </w:rPr>
              <w:t>Donati</w:t>
            </w:r>
            <w:proofErr w:type="spellEnd"/>
          </w:p>
        </w:tc>
        <w:tc>
          <w:tcPr>
            <w:tcW w:w="3837"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Diputada Sandra Rey</w:t>
            </w:r>
          </w:p>
          <w:p w:rsidR="008F0718" w:rsidRDefault="008F0718" w:rsidP="007A154E">
            <w:pPr>
              <w:pStyle w:val="normal0"/>
              <w:spacing w:after="0" w:line="360" w:lineRule="auto"/>
              <w:rPr>
                <w:rFonts w:ascii="Times New Roman" w:eastAsia="Times New Roman" w:hAnsi="Times New Roman" w:cs="Times New Roman"/>
                <w:sz w:val="24"/>
                <w:szCs w:val="24"/>
              </w:rPr>
            </w:pPr>
          </w:p>
        </w:tc>
      </w:tr>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Diputado Marcelo </w:t>
            </w:r>
            <w:proofErr w:type="spellStart"/>
            <w:r>
              <w:rPr>
                <w:rFonts w:ascii="Times New Roman" w:eastAsia="Times New Roman" w:hAnsi="Times New Roman" w:cs="Times New Roman"/>
                <w:b/>
                <w:bCs/>
                <w:color w:val="000000"/>
                <w:sz w:val="24"/>
                <w:szCs w:val="24"/>
              </w:rPr>
              <w:t>Ernst</w:t>
            </w:r>
            <w:proofErr w:type="spellEnd"/>
          </w:p>
        </w:tc>
        <w:tc>
          <w:tcPr>
            <w:tcW w:w="3837"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Diputado Andrés La </w:t>
            </w:r>
            <w:proofErr w:type="spellStart"/>
            <w:r>
              <w:rPr>
                <w:rFonts w:ascii="Times New Roman" w:eastAsia="Times New Roman" w:hAnsi="Times New Roman" w:cs="Times New Roman"/>
                <w:b/>
                <w:bCs/>
                <w:color w:val="000000"/>
                <w:sz w:val="24"/>
                <w:szCs w:val="24"/>
              </w:rPr>
              <w:t>Blunda</w:t>
            </w:r>
            <w:proofErr w:type="spellEnd"/>
          </w:p>
        </w:tc>
      </w:tr>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Diputada Patricia </w:t>
            </w:r>
            <w:proofErr w:type="spellStart"/>
            <w:r>
              <w:rPr>
                <w:rFonts w:ascii="Times New Roman" w:eastAsia="Times New Roman" w:hAnsi="Times New Roman" w:cs="Times New Roman"/>
                <w:b/>
                <w:bCs/>
                <w:color w:val="000000"/>
                <w:sz w:val="24"/>
                <w:szCs w:val="24"/>
              </w:rPr>
              <w:t>Glize</w:t>
            </w:r>
            <w:proofErr w:type="spellEnd"/>
          </w:p>
          <w:p w:rsidR="008F0718" w:rsidRDefault="008F0718" w:rsidP="007A154E">
            <w:pPr>
              <w:pStyle w:val="normal0"/>
              <w:spacing w:after="0" w:line="360" w:lineRule="auto"/>
              <w:rPr>
                <w:rFonts w:ascii="Times New Roman" w:eastAsia="Times New Roman" w:hAnsi="Times New Roman" w:cs="Times New Roman"/>
                <w:sz w:val="24"/>
                <w:szCs w:val="24"/>
              </w:rPr>
            </w:pPr>
          </w:p>
        </w:tc>
        <w:tc>
          <w:tcPr>
            <w:tcW w:w="3837"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lastRenderedPageBreak/>
              <w:br/>
            </w:r>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Diputada María Fernanda </w:t>
            </w:r>
            <w:proofErr w:type="spellStart"/>
            <w:r>
              <w:rPr>
                <w:rFonts w:ascii="Times New Roman" w:eastAsia="Times New Roman" w:hAnsi="Times New Roman" w:cs="Times New Roman"/>
                <w:b/>
                <w:bCs/>
                <w:color w:val="000000"/>
                <w:sz w:val="24"/>
                <w:szCs w:val="24"/>
              </w:rPr>
              <w:t>Mollard</w:t>
            </w:r>
            <w:proofErr w:type="spellEnd"/>
          </w:p>
          <w:p w:rsidR="008F0718" w:rsidRDefault="008F0718" w:rsidP="007A154E">
            <w:pPr>
              <w:pStyle w:val="normal0"/>
              <w:spacing w:after="0" w:line="360" w:lineRule="auto"/>
              <w:rPr>
                <w:rFonts w:ascii="Times New Roman" w:eastAsia="Times New Roman" w:hAnsi="Times New Roman" w:cs="Times New Roman"/>
                <w:sz w:val="24"/>
                <w:szCs w:val="24"/>
              </w:rPr>
            </w:pPr>
          </w:p>
        </w:tc>
      </w:tr>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Diputada Delfina Velásquez</w:t>
            </w:r>
          </w:p>
        </w:tc>
        <w:tc>
          <w:tcPr>
            <w:tcW w:w="3837"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8F0718" w:rsidRDefault="008F0718" w:rsidP="007A154E">
            <w:pPr>
              <w:pStyle w:val="normal0"/>
              <w:spacing w:before="240"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Diputado Leonardo </w:t>
            </w:r>
            <w:proofErr w:type="spellStart"/>
            <w:r>
              <w:rPr>
                <w:rFonts w:ascii="Times New Roman" w:eastAsia="Times New Roman" w:hAnsi="Times New Roman" w:cs="Times New Roman"/>
                <w:b/>
                <w:bCs/>
                <w:color w:val="000000"/>
                <w:sz w:val="24"/>
                <w:szCs w:val="24"/>
              </w:rPr>
              <w:t>Saifert</w:t>
            </w:r>
            <w:proofErr w:type="spellEnd"/>
          </w:p>
          <w:p w:rsidR="008F0718" w:rsidRDefault="008F0718" w:rsidP="007A154E">
            <w:pPr>
              <w:pStyle w:val="normal0"/>
              <w:spacing w:after="0" w:line="360" w:lineRule="auto"/>
              <w:rPr>
                <w:rFonts w:ascii="Times New Roman" w:eastAsia="Times New Roman" w:hAnsi="Times New Roman" w:cs="Times New Roman"/>
                <w:sz w:val="24"/>
                <w:szCs w:val="24"/>
              </w:rPr>
            </w:pPr>
          </w:p>
        </w:tc>
      </w:tr>
      <w:tr w:rsidR="008F0718" w:rsidTr="007A154E">
        <w:tc>
          <w:tcPr>
            <w:tcW w:w="3543" w:type="dxa"/>
            <w:tcMar>
              <w:top w:w="0" w:type="dxa"/>
              <w:left w:w="108" w:type="dxa"/>
              <w:bottom w:w="0" w:type="dxa"/>
              <w:right w:w="108" w:type="dxa"/>
            </w:tcMar>
          </w:tcPr>
          <w:p w:rsidR="008F0718" w:rsidRDefault="008F0718" w:rsidP="007A154E">
            <w:pPr>
              <w:pStyle w:val="normal0"/>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8F0718" w:rsidRDefault="008F0718" w:rsidP="007A154E">
            <w:pPr>
              <w:pStyle w:val="normal0"/>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Diputado Leandro Santoro</w:t>
            </w:r>
          </w:p>
          <w:p w:rsidR="008F0718" w:rsidRDefault="008F0718" w:rsidP="007A154E">
            <w:pPr>
              <w:pStyle w:val="normal0"/>
              <w:spacing w:after="0" w:line="360" w:lineRule="auto"/>
              <w:rPr>
                <w:rFonts w:ascii="Times New Roman" w:eastAsia="Times New Roman" w:hAnsi="Times New Roman" w:cs="Times New Roman"/>
                <w:sz w:val="24"/>
                <w:szCs w:val="24"/>
              </w:rPr>
            </w:pPr>
          </w:p>
        </w:tc>
        <w:tc>
          <w:tcPr>
            <w:tcW w:w="3837" w:type="dxa"/>
            <w:tcMar>
              <w:top w:w="0" w:type="dxa"/>
              <w:left w:w="108" w:type="dxa"/>
              <w:bottom w:w="0" w:type="dxa"/>
              <w:right w:w="108" w:type="dxa"/>
            </w:tcMar>
          </w:tcPr>
          <w:p w:rsidR="008F0718" w:rsidRDefault="008F0718" w:rsidP="007A154E">
            <w:pPr>
              <w:pStyle w:val="normal0"/>
              <w:spacing w:after="0" w:line="360" w:lineRule="auto"/>
              <w:rPr>
                <w:rFonts w:ascii="Times New Roman" w:eastAsia="Times New Roman" w:hAnsi="Times New Roman" w:cs="Times New Roman"/>
                <w:sz w:val="24"/>
                <w:szCs w:val="24"/>
              </w:rPr>
            </w:pPr>
          </w:p>
        </w:tc>
      </w:tr>
    </w:tbl>
    <w:p w:rsidR="00AF6364" w:rsidRPr="000425FE" w:rsidRDefault="00AF6364">
      <w:pPr>
        <w:rPr>
          <w:rFonts w:ascii="Times New Roman" w:hAnsi="Times New Roman" w:cs="Times New Roman"/>
          <w:lang w:val="es-MX"/>
        </w:rPr>
      </w:pPr>
    </w:p>
    <w:sectPr w:rsidR="00AF6364"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FE0" w:rsidRDefault="00645FE0" w:rsidP="00AF6364">
      <w:pPr>
        <w:spacing w:after="0" w:line="240" w:lineRule="auto"/>
      </w:pPr>
      <w:r>
        <w:separator/>
      </w:r>
    </w:p>
  </w:endnote>
  <w:endnote w:type="continuationSeparator" w:id="0">
    <w:p w:rsidR="00645FE0" w:rsidRDefault="00645FE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1D0A4D" w:rsidRPr="001D0A4D">
        <w:rPr>
          <w:noProof/>
          <w:color w:val="333333"/>
          <w:sz w:val="20"/>
        </w:rPr>
        <w:t>9/9/2026 11:30:00</w:t>
      </w:r>
    </w:fldSimple>
    <w:r w:rsidRPr="001C19C4">
      <w:rPr>
        <w:color w:val="333333"/>
        <w:sz w:val="20"/>
      </w:rPr>
      <w:t xml:space="preserve">  -  Cantidad de caracteres: </w:t>
    </w:r>
    <w:fldSimple w:instr=" NUMCHARS  \* MERGEFORMAT ">
      <w:r w:rsidR="001D0A4D" w:rsidRPr="001D0A4D">
        <w:rPr>
          <w:noProof/>
          <w:color w:val="333333"/>
          <w:sz w:val="20"/>
        </w:rPr>
        <w:t>14755</w:t>
      </w:r>
    </w:fldSimple>
    <w:r w:rsidRPr="001C19C4">
      <w:rPr>
        <w:color w:val="333333"/>
        <w:sz w:val="20"/>
      </w:rPr>
      <w:t xml:space="preserve"> - Cantidad de palabras: </w:t>
    </w:r>
    <w:fldSimple w:instr=" NUMWORDS  \* MERGEFORMAT ">
      <w:r w:rsidR="001D0A4D" w:rsidRPr="001D0A4D">
        <w:rPr>
          <w:noProof/>
          <w:color w:val="333333"/>
          <w:sz w:val="20"/>
        </w:rPr>
        <w:t>2340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F6C8E" w:rsidRPr="001C19C4">
      <w:rPr>
        <w:rStyle w:val="Nmerodepgina"/>
        <w:color w:val="333333"/>
      </w:rPr>
      <w:fldChar w:fldCharType="begin"/>
    </w:r>
    <w:r w:rsidRPr="001C19C4">
      <w:rPr>
        <w:rStyle w:val="Nmerodepgina"/>
        <w:color w:val="333333"/>
      </w:rPr>
      <w:instrText xml:space="preserve"> PAGE </w:instrText>
    </w:r>
    <w:r w:rsidR="006F6C8E" w:rsidRPr="001C19C4">
      <w:rPr>
        <w:rStyle w:val="Nmerodepgina"/>
        <w:color w:val="333333"/>
      </w:rPr>
      <w:fldChar w:fldCharType="separate"/>
    </w:r>
    <w:r w:rsidR="001D0A4D">
      <w:rPr>
        <w:rStyle w:val="Nmerodepgina"/>
        <w:noProof/>
        <w:color w:val="333333"/>
      </w:rPr>
      <w:t>1</w:t>
    </w:r>
    <w:r w:rsidR="006F6C8E" w:rsidRPr="001C19C4">
      <w:rPr>
        <w:rStyle w:val="Nmerodepgina"/>
        <w:color w:val="333333"/>
      </w:rPr>
      <w:fldChar w:fldCharType="end"/>
    </w:r>
    <w:r w:rsidRPr="001C19C4">
      <w:rPr>
        <w:rStyle w:val="Nmerodepgina"/>
        <w:color w:val="333333"/>
      </w:rPr>
      <w:t>/</w:t>
    </w:r>
    <w:fldSimple w:instr=" NUMPAGES  \* MERGEFORMAT ">
      <w:r w:rsidR="001D0A4D">
        <w:rPr>
          <w:noProof/>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FE0" w:rsidRDefault="00645FE0" w:rsidP="00AF6364">
      <w:pPr>
        <w:spacing w:after="0" w:line="240" w:lineRule="auto"/>
      </w:pPr>
      <w:r>
        <w:separator/>
      </w:r>
    </w:p>
  </w:footnote>
  <w:footnote w:type="continuationSeparator" w:id="0">
    <w:p w:rsidR="00645FE0" w:rsidRDefault="00645FE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AF5E0F"/>
    <w:rsid w:val="000425FE"/>
    <w:rsid w:val="001D0A4D"/>
    <w:rsid w:val="001E3CB8"/>
    <w:rsid w:val="002B0876"/>
    <w:rsid w:val="002E545D"/>
    <w:rsid w:val="00425C91"/>
    <w:rsid w:val="00476D68"/>
    <w:rsid w:val="004F14B4"/>
    <w:rsid w:val="00597CD1"/>
    <w:rsid w:val="00645FE0"/>
    <w:rsid w:val="00646C3C"/>
    <w:rsid w:val="006A0EE0"/>
    <w:rsid w:val="006D1BAF"/>
    <w:rsid w:val="006E4861"/>
    <w:rsid w:val="006F6C8E"/>
    <w:rsid w:val="0072782F"/>
    <w:rsid w:val="00746F04"/>
    <w:rsid w:val="00785CAD"/>
    <w:rsid w:val="007D5575"/>
    <w:rsid w:val="00813615"/>
    <w:rsid w:val="0081386C"/>
    <w:rsid w:val="00887FEC"/>
    <w:rsid w:val="008F0718"/>
    <w:rsid w:val="009A4135"/>
    <w:rsid w:val="00A64A09"/>
    <w:rsid w:val="00AF3B91"/>
    <w:rsid w:val="00AF5E0F"/>
    <w:rsid w:val="00AF6364"/>
    <w:rsid w:val="00B24DD0"/>
    <w:rsid w:val="00C33CB5"/>
    <w:rsid w:val="00C60B5C"/>
    <w:rsid w:val="00CB1D8C"/>
    <w:rsid w:val="00DA6887"/>
    <w:rsid w:val="00DB479F"/>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18"/>
    <w:rPr>
      <w:rFonts w:ascii="Aptos" w:eastAsia="Aptos" w:hAnsi="Aptos" w:cs="Aptos"/>
      <w:kern w:val="0"/>
      <w:lang w:eastAsia="es-ES"/>
    </w:rPr>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asciiTheme="minorHAnsi" w:eastAsiaTheme="majorEastAsia" w:hAnsiTheme="minorHAnsi" w:cstheme="majorBidi"/>
      <w:i/>
      <w:iCs/>
      <w:color w:val="0F4761" w:themeColor="accent1" w:themeShade="BF"/>
      <w:kern w:val="2"/>
      <w:lang w:eastAsia="en-US"/>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asciiTheme="minorHAnsi" w:eastAsiaTheme="majorEastAsia" w:hAnsiTheme="minorHAnsi" w:cstheme="majorBidi"/>
      <w:color w:val="0F4761" w:themeColor="accent1" w:themeShade="BF"/>
      <w:kern w:val="2"/>
      <w:lang w:eastAsia="en-US"/>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asciiTheme="minorHAnsi" w:eastAsiaTheme="majorEastAsia" w:hAnsiTheme="minorHAnsi" w:cstheme="majorBidi"/>
      <w:i/>
      <w:iCs/>
      <w:color w:val="595959" w:themeColor="text1" w:themeTint="A6"/>
      <w:kern w:val="2"/>
      <w:lang w:eastAsia="en-US"/>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asciiTheme="minorHAnsi" w:eastAsiaTheme="majorEastAsia" w:hAnsiTheme="minorHAnsi" w:cstheme="majorBidi"/>
      <w:color w:val="595959" w:themeColor="text1" w:themeTint="A6"/>
      <w:kern w:val="2"/>
      <w:lang w:eastAsia="en-US"/>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asciiTheme="minorHAnsi" w:eastAsiaTheme="majorEastAsia" w:hAnsiTheme="minorHAnsi" w:cstheme="majorBidi"/>
      <w:i/>
      <w:iCs/>
      <w:color w:val="272727" w:themeColor="text1" w:themeTint="D8"/>
      <w:kern w:val="2"/>
      <w:lang w:eastAsia="en-US"/>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asciiTheme="minorHAnsi" w:eastAsiaTheme="majorEastAsia" w:hAnsiTheme="minorHAnsi" w:cstheme="majorBidi"/>
      <w:color w:val="272727" w:themeColor="text1" w:themeTint="D8"/>
      <w:kern w:val="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rFonts w:asciiTheme="minorHAnsi" w:eastAsiaTheme="minorHAnsi" w:hAnsiTheme="minorHAnsi" w:cstheme="minorBidi"/>
      <w:i/>
      <w:iCs/>
      <w:color w:val="404040" w:themeColor="text1" w:themeTint="BF"/>
      <w:kern w:val="2"/>
      <w:lang w:eastAsia="en-US"/>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rPr>
      <w:rFonts w:asciiTheme="minorHAnsi" w:eastAsiaTheme="minorHAnsi" w:hAnsiTheme="minorHAnsi" w:cstheme="minorBidi"/>
      <w:kern w:val="2"/>
      <w:lang w:eastAsia="en-US"/>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rPr>
      <w:rFonts w:asciiTheme="minorHAnsi" w:eastAsiaTheme="minorHAnsi" w:hAnsiTheme="minorHAnsi" w:cstheme="minorBidi"/>
      <w:kern w:val="2"/>
      <w:lang w:eastAsia="en-US"/>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rPr>
      <w:rFonts w:asciiTheme="minorHAnsi" w:eastAsiaTheme="minorHAnsi" w:hAnsiTheme="minorHAnsi" w:cstheme="minorBidi"/>
      <w:kern w:val="2"/>
      <w:lang w:eastAsia="en-US"/>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8F0718"/>
    <w:rPr>
      <w:rFonts w:ascii="Aptos" w:eastAsia="Aptos" w:hAnsi="Aptos" w:cs="Aptos"/>
      <w:kern w:val="0"/>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dadone\Desktop\Plantilla%20Legislar%20202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2026</Template>
  <TotalTime>5</TotalTime>
  <Pages>8</Pages>
  <Words>2340</Words>
  <Characters>14755</Characters>
  <Application>Microsoft Office Word</Application>
  <DocSecurity>0</DocSecurity>
  <Lines>280</Lines>
  <Paragraphs>84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mcdadone</dc:creator>
  <cp:lastModifiedBy>josarthou</cp:lastModifiedBy>
  <cp:revision>5</cp:revision>
  <cp:lastPrinted>2026-09-09T14:32:00Z</cp:lastPrinted>
  <dcterms:created xsi:type="dcterms:W3CDTF">2026-09-03T13:13:00Z</dcterms:created>
  <dcterms:modified xsi:type="dcterms:W3CDTF">2026-09-09T14:34:00Z</dcterms:modified>
</cp:coreProperties>
</file>