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Legislatura de la Ciudad Autónoma de Buenos Aires</w:t>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kern w:val="0"/>
          <w:sz w:val="24"/>
          <w:szCs w:val="24"/>
          <w:lang w:val="es-ES" w:eastAsia="es-ES"/>
        </w:rPr>
        <w:br/>
      </w: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Visto: </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 xml:space="preserve">                                      Que en el Expediente Nº 1771-P-2026 de autoría de Núñez, Pastora Joaquina (hacen propio la Diputada Freire, la Diputada </w:t>
      </w:r>
      <w:proofErr w:type="spellStart"/>
      <w:r w:rsidRPr="0021273E">
        <w:rPr>
          <w:rFonts w:ascii="Times New Roman" w:eastAsia="Times New Roman" w:hAnsi="Times New Roman" w:cs="Times New Roman"/>
          <w:color w:val="000000"/>
          <w:kern w:val="0"/>
          <w:sz w:val="24"/>
          <w:szCs w:val="24"/>
          <w:lang w:val="es-ES" w:eastAsia="es-ES"/>
        </w:rPr>
        <w:t>Biasi</w:t>
      </w:r>
      <w:proofErr w:type="spellEnd"/>
      <w:r w:rsidRPr="0021273E">
        <w:rPr>
          <w:rFonts w:ascii="Times New Roman" w:eastAsia="Times New Roman" w:hAnsi="Times New Roman" w:cs="Times New Roman"/>
          <w:color w:val="000000"/>
          <w:kern w:val="0"/>
          <w:sz w:val="24"/>
          <w:szCs w:val="24"/>
          <w:lang w:val="es-ES" w:eastAsia="es-ES"/>
        </w:rPr>
        <w:t xml:space="preserve">, la Diputada Velázquez, el Diputado Salvatierra, la Diputada </w:t>
      </w:r>
      <w:proofErr w:type="spellStart"/>
      <w:r w:rsidRPr="0021273E">
        <w:rPr>
          <w:rFonts w:ascii="Times New Roman" w:eastAsia="Times New Roman" w:hAnsi="Times New Roman" w:cs="Times New Roman"/>
          <w:color w:val="000000"/>
          <w:kern w:val="0"/>
          <w:sz w:val="24"/>
          <w:szCs w:val="24"/>
          <w:lang w:val="es-ES" w:eastAsia="es-ES"/>
        </w:rPr>
        <w:t>Bielli</w:t>
      </w:r>
      <w:proofErr w:type="spellEnd"/>
      <w:r w:rsidRPr="0021273E">
        <w:rPr>
          <w:rFonts w:ascii="Times New Roman" w:eastAsia="Times New Roman" w:hAnsi="Times New Roman" w:cs="Times New Roman"/>
          <w:color w:val="000000"/>
          <w:kern w:val="0"/>
          <w:sz w:val="24"/>
          <w:szCs w:val="24"/>
          <w:lang w:val="es-ES" w:eastAsia="es-ES"/>
        </w:rPr>
        <w:t xml:space="preserve">, la Diputada </w:t>
      </w:r>
      <w:proofErr w:type="spellStart"/>
      <w:r w:rsidRPr="0021273E">
        <w:rPr>
          <w:rFonts w:ascii="Times New Roman" w:eastAsia="Times New Roman" w:hAnsi="Times New Roman" w:cs="Times New Roman"/>
          <w:color w:val="000000"/>
          <w:kern w:val="0"/>
          <w:sz w:val="24"/>
          <w:szCs w:val="24"/>
          <w:lang w:val="es-ES" w:eastAsia="es-ES"/>
        </w:rPr>
        <w:t>Iañez</w:t>
      </w:r>
      <w:proofErr w:type="spellEnd"/>
      <w:r w:rsidRPr="0021273E">
        <w:rPr>
          <w:rFonts w:ascii="Times New Roman" w:eastAsia="Times New Roman" w:hAnsi="Times New Roman" w:cs="Times New Roman"/>
          <w:color w:val="000000"/>
          <w:kern w:val="0"/>
          <w:sz w:val="24"/>
          <w:szCs w:val="24"/>
          <w:lang w:val="es-ES" w:eastAsia="es-ES"/>
        </w:rPr>
        <w:t xml:space="preserve"> y la Diputada Martin), cuyo objeto es la reurbanización, zonificación y definición de lineamientos para el proceso de integración social, cultural, ambiental y urbana del Barrio denominado “La Carbonilla”, y; </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Considerando: </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Que los integrantes de la Comisión Directiva de “La Carbonilla”, elegidos democráticamente por sus vecinos, impulsaron este proyecto de Ley de reurbanización para el barrio. Respalda su propuesta los derechos conferidos por la Ley N°148 de la Ciudad, requiriendo de la atención prioritaria a las problemáticas sociales y habitacionales que enfrentamos. El proyecto retoma iniciativas previas, presentadas por integrantes de la Comisión Directiva anterior, ratificando la persistente demanda de los vecinos del barrio para que efectivamente se desarrolle un proceso de integración urbana.</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Que se destaca que entre 2016 y 2019, el Gobierno de la Ciudad y el Estado Nacional desarrollaron la obra de elevación de las vías del ferrocarril San Martín que cambió completamente a la Estación Paternal, sin que se haya revisado la forma en la que esta nueva disposición de las vías afectó al barrio, incorporando un muro de borde y condicionando la articulación de los ejes de movilidad y del tejido urbano, razón por la que se solicita que no sean ignorados y que se haga una profunda revisión respecto a dicha transformación, como parte de los temas a tratar en una mesa de trabajo participativa que incluya la visión de quienes habitan el barrio y sus condiciones de vida.</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 xml:space="preserve">Que el Estado Nacional, por medio de la Resolución AABE N° 196/2015 de la Agencia de Administración de Bienes del Estado, en el año 2015 desafectó de la jurisdicción del Ministerio del Interior y Transporte un sector de las tierras de la Estación Paternal, asignándolas a la entonces Secretaría Nacional de Acceso al Hábitat a los fines de ser afectados a la ejecución de políticas de acceso al hábitat y regularización de barrios informales. Este hecho, más allá de que pueda ser necesaria un área mayor (para la construcción de viviendas nuevas, infraestructura y equipamiento), separa a “La Carbonilla” de las tierras de uso ferroviario y facilita las gestiones para la regularización </w:t>
      </w:r>
      <w:proofErr w:type="spellStart"/>
      <w:r w:rsidRPr="0021273E">
        <w:rPr>
          <w:rFonts w:ascii="Times New Roman" w:eastAsia="Times New Roman" w:hAnsi="Times New Roman" w:cs="Times New Roman"/>
          <w:color w:val="000000"/>
          <w:kern w:val="0"/>
          <w:sz w:val="24"/>
          <w:szCs w:val="24"/>
          <w:lang w:val="es-ES" w:eastAsia="es-ES"/>
        </w:rPr>
        <w:t>dominial</w:t>
      </w:r>
      <w:proofErr w:type="spellEnd"/>
      <w:r w:rsidRPr="0021273E">
        <w:rPr>
          <w:rFonts w:ascii="Times New Roman" w:eastAsia="Times New Roman" w:hAnsi="Times New Roman" w:cs="Times New Roman"/>
          <w:color w:val="000000"/>
          <w:kern w:val="0"/>
          <w:sz w:val="24"/>
          <w:szCs w:val="24"/>
          <w:lang w:val="es-ES" w:eastAsia="es-ES"/>
        </w:rPr>
        <w:t xml:space="preserve"> plena a favor de quienes habitan el barrio hace años.</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Que “La Carbonilla” surgió en el 2001, en plena crisis económica, política y social de la Argentina. A partir de la organización comunitaria se logró construir las viviendas y consolidar un barrio en el que, estiman las organizaciones, viven entre 4.000 y 5.000 personas.</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 xml:space="preserve">Que en el año 2014, gracias a la intervención del Juzgado en lo Contencioso Administrativo y Tributario N°4, de la Ciudad de Buenos Aires, se logró el reconocimiento del barrio, se desarrolló un censo poblacional y se realizó </w:t>
      </w:r>
      <w:proofErr w:type="gramStart"/>
      <w:r w:rsidRPr="0021273E">
        <w:rPr>
          <w:rFonts w:ascii="Times New Roman" w:eastAsia="Times New Roman" w:hAnsi="Times New Roman" w:cs="Times New Roman"/>
          <w:color w:val="000000"/>
          <w:kern w:val="0"/>
          <w:sz w:val="24"/>
          <w:szCs w:val="24"/>
          <w:lang w:val="es-ES" w:eastAsia="es-ES"/>
        </w:rPr>
        <w:t>las primera elección</w:t>
      </w:r>
      <w:proofErr w:type="gramEnd"/>
      <w:r w:rsidRPr="0021273E">
        <w:rPr>
          <w:rFonts w:ascii="Times New Roman" w:eastAsia="Times New Roman" w:hAnsi="Times New Roman" w:cs="Times New Roman"/>
          <w:color w:val="000000"/>
          <w:kern w:val="0"/>
          <w:sz w:val="24"/>
          <w:szCs w:val="24"/>
          <w:lang w:val="es-ES" w:eastAsia="es-ES"/>
        </w:rPr>
        <w:t xml:space="preserve"> de representantes democráticos, en el marco de la Ley N°148 de la Ciudad. </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Que el barrio “La Carbonilla”, como muchas de las villas de la CABA, tiene una larga historia de lucha. Cuenta con muy buenas condiciones físicas para desarrollar un proceso de reurbanización porque fueron construyendo el barrio respetando los ejes de calles, con anchos que permiten la circulación de autos y las viviendas respetan un espacio de veredas, sin escaleras caracol que invadan lo público, y posibilitando la extensión de las calles del entorno. Los vecinos cristalizaron estos lineamientos en un “Reglamento interno de ancho de calles y veredas” que también resguarda los espacios públicos de esparcimiento. Con el trabajo de los vecinos, y el apoyo de organizaciones sociales, políticas, religiosas y culturales, lograron desarrollar redes comunitarias de servicios básicos, cuentan con un activo Centro Comunitario, diversas sedes religiosas, tres plazas, dos playones deportivos, y una sede de la Comisaría N°41.</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lastRenderedPageBreak/>
        <w:t>Que pese al esfuerzo, sufren diariamente problemáticas propias de una villa que requiere su reurbanización de manera urgente: cortes de luz, desbordes cloacales, escasez de agua, inundaciones, calles sin pavimentar, muchas de sus familias viven con altos niveles de hacinamiento y en viviendas con materiales precarios. La mayor parte de nuestras casas no logran alcanzar condiciones de habitabilidad dignas y los servicios de emergencias como los camiones de bomberos, policías y ambulancias muchas veces no quieren ingresar al barrio, poniendo en riesgo su vida y la de sus hijos. Entre otras necesidades urgentes para el barrio se destaca el reclamo por un jardín maternal por la falta de vacantes en la Comuna 15, que dificulta el resguardo de los más chiquitos.</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Que el barrio de La Paternal, como entorno urbano, habilita nuestro pedido porque es un área residencial.</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 xml:space="preserve">Que se considera como antecedente al proceso de reurbanización iniciado en el “El Playón de </w:t>
      </w:r>
      <w:proofErr w:type="spellStart"/>
      <w:r w:rsidRPr="0021273E">
        <w:rPr>
          <w:rFonts w:ascii="Times New Roman" w:eastAsia="Times New Roman" w:hAnsi="Times New Roman" w:cs="Times New Roman"/>
          <w:color w:val="000000"/>
          <w:kern w:val="0"/>
          <w:sz w:val="24"/>
          <w:szCs w:val="24"/>
          <w:lang w:val="es-ES" w:eastAsia="es-ES"/>
        </w:rPr>
        <w:t>Chacarita</w:t>
      </w:r>
      <w:proofErr w:type="spellEnd"/>
      <w:r w:rsidRPr="0021273E">
        <w:rPr>
          <w:rFonts w:ascii="Times New Roman" w:eastAsia="Times New Roman" w:hAnsi="Times New Roman" w:cs="Times New Roman"/>
          <w:color w:val="000000"/>
          <w:kern w:val="0"/>
          <w:sz w:val="24"/>
          <w:szCs w:val="24"/>
          <w:lang w:val="es-ES" w:eastAsia="es-ES"/>
        </w:rPr>
        <w:t>” en la misma Comuna 15. Se destaca la necesidad de contar en el proceso con una Mesa de Gestión Participativa, con equipos técnicos de apoyo, la participación de las Defensorías, representantes de la Comisión de Vivienda de la Legislatura, y con la representación de todos los vecinos de la Comuna 15, a través de la Junta Comunal y el Consejo Consultivo (territorio en el cual se ubica el barrio y los espacios públicos que se sumarán a la gestión comunal a partir del proceso de urbanización).</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Que se quiere lograr un Plan Integral de Urbanización que defina las obras a desarrollar con etapas claras, asegurando calidad de las intervenciones y un correcto dimensionamiento de las infraestructuras, que les permita vivir en las mismas condiciones que todos los vecinos de la Ciudad. También el plan debe articular gestiones que habiliten servicios normales de seguridad, emergencias, los servicios de correo y mantenimiento urbano, así como otros Programas específicos que aborden la variedad de dificultades que enfrentan para una integración social plena: vecinos en situación de mayor vulnerabilidad por discapacidad, violencia familiar, necesidad de mayor capacitación para el empleo y de apoyo para desarrollo de actividades productivas, etc. De esta manera, se cree que la integración socio-urbana no son sólo obras de mejoramiento, la urbanización del barrio es un proceso social.</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Que la presente propuesta aparece como una reivindicación fuerte entre todos los habitantes del barrio y como una oportunidad para que el Gobierno de la Ciudad emprenda intervenciones urbanas complementarias en esta área de La Paternal, núcleo central de la Comuna 15.</w:t>
      </w:r>
    </w:p>
    <w:p w:rsidR="0021273E" w:rsidRPr="0021273E" w:rsidRDefault="0021273E" w:rsidP="0021273E">
      <w:pPr>
        <w:spacing w:after="0" w:line="240" w:lineRule="auto"/>
        <w:ind w:right="-95" w:firstLine="720"/>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Que se considera que el derecho a la vivienda digna y al hábitat adecuado está plasmado en la Constitución de la Ciudad de Buenos Aires a través de su Artículo 31°, es que solicitamos la pronta aprobación del presente proyecto de Ley.</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720"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Por lo expuesto, esta Comisión de Vivienda aconseja la aprobación de la siguiente:</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jc w:val="center"/>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LEY</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INTEGRACIÓN SOCIO URBANA</w:t>
      </w: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DEL BARRIO LA CARBONILLA</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center"/>
        <w:outlineLvl w:val="1"/>
        <w:rPr>
          <w:rFonts w:ascii="Times New Roman" w:eastAsia="Times New Roman" w:hAnsi="Times New Roman" w:cs="Times New Roman"/>
          <w:b/>
          <w:bCs/>
          <w:kern w:val="0"/>
          <w:sz w:val="36"/>
          <w:szCs w:val="36"/>
          <w:lang w:val="es-ES" w:eastAsia="es-ES"/>
        </w:rPr>
      </w:pPr>
      <w:r w:rsidRPr="0021273E">
        <w:rPr>
          <w:rFonts w:ascii="Times New Roman" w:eastAsia="Times New Roman" w:hAnsi="Times New Roman" w:cs="Times New Roman"/>
          <w:b/>
          <w:bCs/>
          <w:color w:val="000000"/>
          <w:kern w:val="0"/>
          <w:sz w:val="24"/>
          <w:szCs w:val="24"/>
          <w:lang w:val="es-ES" w:eastAsia="es-ES"/>
        </w:rPr>
        <w:t>CAPÍTULO I</w:t>
      </w:r>
    </w:p>
    <w:p w:rsidR="0021273E" w:rsidRPr="0021273E" w:rsidRDefault="0021273E" w:rsidP="0021273E">
      <w:pPr>
        <w:spacing w:after="0" w:line="240" w:lineRule="auto"/>
        <w:ind w:left="-142" w:right="-96"/>
        <w:jc w:val="center"/>
        <w:outlineLvl w:val="1"/>
        <w:rPr>
          <w:rFonts w:ascii="Times New Roman" w:eastAsia="Times New Roman" w:hAnsi="Times New Roman" w:cs="Times New Roman"/>
          <w:b/>
          <w:bCs/>
          <w:kern w:val="0"/>
          <w:sz w:val="36"/>
          <w:szCs w:val="36"/>
          <w:lang w:val="es-ES" w:eastAsia="es-ES"/>
        </w:rPr>
      </w:pPr>
      <w:r w:rsidRPr="0021273E">
        <w:rPr>
          <w:rFonts w:ascii="Times New Roman" w:eastAsia="Times New Roman" w:hAnsi="Times New Roman" w:cs="Times New Roman"/>
          <w:b/>
          <w:bCs/>
          <w:color w:val="000000"/>
          <w:kern w:val="0"/>
          <w:sz w:val="24"/>
          <w:szCs w:val="24"/>
          <w:lang w:val="es-ES" w:eastAsia="es-ES"/>
        </w:rPr>
        <w:t>OBJETO</w:t>
      </w:r>
    </w:p>
    <w:p w:rsidR="0021273E" w:rsidRPr="0021273E" w:rsidRDefault="0021273E" w:rsidP="0021273E">
      <w:pPr>
        <w:spacing w:before="309"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 Objeto. </w:t>
      </w:r>
      <w:r w:rsidRPr="0021273E">
        <w:rPr>
          <w:rFonts w:ascii="Times New Roman" w:eastAsia="Times New Roman" w:hAnsi="Times New Roman" w:cs="Times New Roman"/>
          <w:color w:val="000000"/>
          <w:kern w:val="0"/>
          <w:sz w:val="24"/>
          <w:szCs w:val="24"/>
          <w:lang w:val="es-ES" w:eastAsia="es-ES"/>
        </w:rPr>
        <w:t xml:space="preserve">El objeto de la presente ley es la </w:t>
      </w:r>
      <w:r w:rsidRPr="0021273E">
        <w:rPr>
          <w:rFonts w:ascii="Times New Roman" w:eastAsia="Times New Roman" w:hAnsi="Times New Roman" w:cs="Times New Roman"/>
          <w:b/>
          <w:bCs/>
          <w:color w:val="000000"/>
          <w:kern w:val="0"/>
          <w:sz w:val="24"/>
          <w:szCs w:val="24"/>
          <w:lang w:val="es-ES" w:eastAsia="es-ES"/>
        </w:rPr>
        <w:t xml:space="preserve">reurbanización, zonificación y definición de lineamientos para el proceso de integración social, cultural, ambiental y urbana del Barrio denominado “La Carbonilla” </w:t>
      </w:r>
      <w:r w:rsidRPr="0021273E">
        <w:rPr>
          <w:rFonts w:ascii="Times New Roman" w:eastAsia="Times New Roman" w:hAnsi="Times New Roman" w:cs="Times New Roman"/>
          <w:color w:val="000000"/>
          <w:kern w:val="0"/>
          <w:sz w:val="24"/>
          <w:szCs w:val="24"/>
          <w:lang w:val="es-ES" w:eastAsia="es-ES"/>
        </w:rPr>
        <w:t>basada en los principios de igualdad, de democracia participativa, de no discriminación, de integración urbana y del derecho a la Ciudad, mediante la implementación de medidas que permitan superar las condiciones de vulnerabilidad social de los habitantes del barrio con el fin de lograr una inclusión socio-urbana plena y permanente, considerando lo establecido por la Ley Nacional N° 27.694.</w:t>
      </w: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 xml:space="preserve">Se define como </w:t>
      </w:r>
      <w:r w:rsidRPr="0021273E">
        <w:rPr>
          <w:rFonts w:ascii="Times New Roman" w:eastAsia="Times New Roman" w:hAnsi="Times New Roman" w:cs="Times New Roman"/>
          <w:b/>
          <w:bCs/>
          <w:color w:val="000000"/>
          <w:kern w:val="0"/>
          <w:sz w:val="24"/>
          <w:szCs w:val="24"/>
          <w:lang w:val="es-ES" w:eastAsia="es-ES"/>
        </w:rPr>
        <w:t xml:space="preserve">integración </w:t>
      </w:r>
      <w:proofErr w:type="spellStart"/>
      <w:r w:rsidRPr="0021273E">
        <w:rPr>
          <w:rFonts w:ascii="Times New Roman" w:eastAsia="Times New Roman" w:hAnsi="Times New Roman" w:cs="Times New Roman"/>
          <w:b/>
          <w:bCs/>
          <w:color w:val="000000"/>
          <w:kern w:val="0"/>
          <w:sz w:val="24"/>
          <w:szCs w:val="24"/>
          <w:lang w:val="es-ES" w:eastAsia="es-ES"/>
        </w:rPr>
        <w:t>sociourbana</w:t>
      </w:r>
      <w:proofErr w:type="spellEnd"/>
      <w:r w:rsidRPr="0021273E">
        <w:rPr>
          <w:rFonts w:ascii="Times New Roman" w:eastAsia="Times New Roman" w:hAnsi="Times New Roman" w:cs="Times New Roman"/>
          <w:b/>
          <w:bCs/>
          <w:color w:val="000000"/>
          <w:kern w:val="0"/>
          <w:sz w:val="24"/>
          <w:szCs w:val="24"/>
          <w:lang w:val="es-ES" w:eastAsia="es-ES"/>
        </w:rPr>
        <w:t xml:space="preserve"> </w:t>
      </w:r>
      <w:r w:rsidRPr="0021273E">
        <w:rPr>
          <w:rFonts w:ascii="Times New Roman" w:eastAsia="Times New Roman" w:hAnsi="Times New Roman" w:cs="Times New Roman"/>
          <w:color w:val="000000"/>
          <w:kern w:val="0"/>
          <w:sz w:val="24"/>
          <w:szCs w:val="24"/>
          <w:lang w:val="es-ES" w:eastAsia="es-ES"/>
        </w:rPr>
        <w:t xml:space="preserve">al conjunto de acciones orientadas a la mejora y ampliación del equipamiento social y de la infraestructura, para el acceso a los servicios de red, el tratamiento de los espacios libres y públicos, la eliminación de barreras urbanas, la mejora en la accesibilidad y conectividad, el saneamiento y mitigación ambiental, el </w:t>
      </w:r>
      <w:r w:rsidRPr="0021273E">
        <w:rPr>
          <w:rFonts w:ascii="Times New Roman" w:eastAsia="Times New Roman" w:hAnsi="Times New Roman" w:cs="Times New Roman"/>
          <w:color w:val="000000"/>
          <w:kern w:val="0"/>
          <w:sz w:val="24"/>
          <w:szCs w:val="24"/>
          <w:lang w:val="es-ES" w:eastAsia="es-ES"/>
        </w:rPr>
        <w:lastRenderedPageBreak/>
        <w:t xml:space="preserve">fortalecimiento de las actividades económicas familiares, el redimensionamiento parcelario, la seguridad en la tenencia y la regularización </w:t>
      </w:r>
      <w:proofErr w:type="spellStart"/>
      <w:r w:rsidRPr="0021273E">
        <w:rPr>
          <w:rFonts w:ascii="Times New Roman" w:eastAsia="Times New Roman" w:hAnsi="Times New Roman" w:cs="Times New Roman"/>
          <w:color w:val="000000"/>
          <w:kern w:val="0"/>
          <w:sz w:val="24"/>
          <w:szCs w:val="24"/>
          <w:lang w:val="es-ES" w:eastAsia="es-ES"/>
        </w:rPr>
        <w:t>dominial</w:t>
      </w:r>
      <w:proofErr w:type="spellEnd"/>
      <w:r w:rsidRPr="0021273E">
        <w:rPr>
          <w:rFonts w:ascii="Times New Roman" w:eastAsia="Times New Roman" w:hAnsi="Times New Roman" w:cs="Times New Roman"/>
          <w:color w:val="000000"/>
          <w:kern w:val="0"/>
          <w:sz w:val="24"/>
          <w:szCs w:val="24"/>
          <w:lang w:val="es-ES" w:eastAsia="es-ES"/>
        </w:rPr>
        <w:t>; a través de las cuales se alcanza la integración física y social del barrio al tejido de la Ciudad de Buenos Aires, por medio de un abordaje social integral, con carácter de radicación definitiva y mejoramiento del hábitat.</w:t>
      </w: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CAPÍTULO II </w:t>
      </w: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POLÍGONO</w:t>
      </w:r>
    </w:p>
    <w:p w:rsidR="0021273E" w:rsidRPr="0021273E" w:rsidRDefault="0021273E" w:rsidP="0021273E">
      <w:pPr>
        <w:spacing w:before="309"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 Polígono. </w:t>
      </w:r>
      <w:r w:rsidRPr="0021273E">
        <w:rPr>
          <w:rFonts w:ascii="Times New Roman" w:eastAsia="Times New Roman" w:hAnsi="Times New Roman" w:cs="Times New Roman"/>
          <w:color w:val="000000"/>
          <w:kern w:val="0"/>
          <w:sz w:val="24"/>
          <w:szCs w:val="24"/>
          <w:lang w:val="es-ES" w:eastAsia="es-ES"/>
        </w:rPr>
        <w:t xml:space="preserve">Dispóngase la urbanización del Barrio La Carbonilla en el polígono señalado en el Anexo I de la presente, delimitado por el eje de la Avenida Manuel Ricardo Trelles, desde su intersección con las vías del ferrocarril San Martín en Av. </w:t>
      </w:r>
      <w:proofErr w:type="spellStart"/>
      <w:r w:rsidRPr="0021273E">
        <w:rPr>
          <w:rFonts w:ascii="Times New Roman" w:eastAsia="Times New Roman" w:hAnsi="Times New Roman" w:cs="Times New Roman"/>
          <w:color w:val="000000"/>
          <w:kern w:val="0"/>
          <w:sz w:val="24"/>
          <w:szCs w:val="24"/>
          <w:lang w:val="es-ES" w:eastAsia="es-ES"/>
        </w:rPr>
        <w:t>Warnes</w:t>
      </w:r>
      <w:proofErr w:type="spellEnd"/>
      <w:r w:rsidRPr="0021273E">
        <w:rPr>
          <w:rFonts w:ascii="Times New Roman" w:eastAsia="Times New Roman" w:hAnsi="Times New Roman" w:cs="Times New Roman"/>
          <w:color w:val="000000"/>
          <w:kern w:val="0"/>
          <w:sz w:val="24"/>
          <w:szCs w:val="24"/>
          <w:lang w:val="es-ES" w:eastAsia="es-ES"/>
        </w:rPr>
        <w:t xml:space="preserve"> hasta la calle Añasco; por el eje de la calle Añasco hasta su intersección hasta la calle Cucha </w:t>
      </w:r>
      <w:proofErr w:type="spellStart"/>
      <w:r w:rsidRPr="0021273E">
        <w:rPr>
          <w:rFonts w:ascii="Times New Roman" w:eastAsia="Times New Roman" w:hAnsi="Times New Roman" w:cs="Times New Roman"/>
          <w:color w:val="000000"/>
          <w:kern w:val="0"/>
          <w:sz w:val="24"/>
          <w:szCs w:val="24"/>
          <w:lang w:val="es-ES" w:eastAsia="es-ES"/>
        </w:rPr>
        <w:t>Cucha</w:t>
      </w:r>
      <w:proofErr w:type="spellEnd"/>
      <w:r w:rsidRPr="0021273E">
        <w:rPr>
          <w:rFonts w:ascii="Times New Roman" w:eastAsia="Times New Roman" w:hAnsi="Times New Roman" w:cs="Times New Roman"/>
          <w:color w:val="000000"/>
          <w:kern w:val="0"/>
          <w:sz w:val="24"/>
          <w:szCs w:val="24"/>
          <w:lang w:val="es-ES" w:eastAsia="es-ES"/>
        </w:rPr>
        <w:t xml:space="preserve">; por el eje de la calle Cucha </w:t>
      </w:r>
      <w:proofErr w:type="spellStart"/>
      <w:r w:rsidRPr="0021273E">
        <w:rPr>
          <w:rFonts w:ascii="Times New Roman" w:eastAsia="Times New Roman" w:hAnsi="Times New Roman" w:cs="Times New Roman"/>
          <w:color w:val="000000"/>
          <w:kern w:val="0"/>
          <w:sz w:val="24"/>
          <w:szCs w:val="24"/>
          <w:lang w:val="es-ES" w:eastAsia="es-ES"/>
        </w:rPr>
        <w:t>Cucha</w:t>
      </w:r>
      <w:proofErr w:type="spellEnd"/>
      <w:r w:rsidRPr="0021273E">
        <w:rPr>
          <w:rFonts w:ascii="Times New Roman" w:eastAsia="Times New Roman" w:hAnsi="Times New Roman" w:cs="Times New Roman"/>
          <w:color w:val="000000"/>
          <w:kern w:val="0"/>
          <w:sz w:val="24"/>
          <w:szCs w:val="24"/>
          <w:lang w:val="es-ES" w:eastAsia="es-ES"/>
        </w:rPr>
        <w:t xml:space="preserve"> hasta la intersección con el eje deslinde entre la parcela 001, manzana 32, sección 059 y la parcela 000D, manzana 31, sección 059; por este eje hasta la intersección con el eje deslinde entre la parcela 000E y la parcela 000D, manzana 31, sección 059 hasta la calle Espinosa; por esta calle hasta la intersección con el eje deslinde entre la parcela 00E y la parcela 000G, manzana 31, sección 059; por este eje hasta la intersección con el eje deslinde entre la parcela 000E y la parcela 000H, manzana 32, sección 059; por este eje hasta la intersección el eje deslinde entre la parcela 000H, manzana 31, sección 059 y la parcela 0001, manzana 32, sección 059; por este eje y su prolongación virtual hasta la intersección del deslinde con el área de operaciones ferroviarias; por este eje hasta la intersección del eje de la Avenida Trelles.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CAPÍTULO III </w:t>
      </w: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GESTIÓN INSTITUCIONAL</w:t>
      </w:r>
    </w:p>
    <w:p w:rsidR="0021273E" w:rsidRPr="0021273E" w:rsidRDefault="0021273E" w:rsidP="0021273E">
      <w:pPr>
        <w:spacing w:before="313"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 Plan Integral. </w:t>
      </w:r>
      <w:r w:rsidRPr="0021273E">
        <w:rPr>
          <w:rFonts w:ascii="Times New Roman" w:eastAsia="Times New Roman" w:hAnsi="Times New Roman" w:cs="Times New Roman"/>
          <w:color w:val="000000"/>
          <w:kern w:val="0"/>
          <w:sz w:val="24"/>
          <w:szCs w:val="24"/>
          <w:lang w:val="es-ES" w:eastAsia="es-ES"/>
        </w:rPr>
        <w:t xml:space="preserve">Constitúyase el </w:t>
      </w:r>
      <w:r w:rsidRPr="0021273E">
        <w:rPr>
          <w:rFonts w:ascii="Times New Roman" w:eastAsia="Times New Roman" w:hAnsi="Times New Roman" w:cs="Times New Roman"/>
          <w:b/>
          <w:bCs/>
          <w:color w:val="000000"/>
          <w:kern w:val="0"/>
          <w:sz w:val="24"/>
          <w:szCs w:val="24"/>
          <w:lang w:val="es-ES" w:eastAsia="es-ES"/>
        </w:rPr>
        <w:t xml:space="preserve">“Plan Integral de Reurbanización del Barrio La Carbonilla” </w:t>
      </w:r>
      <w:r w:rsidRPr="0021273E">
        <w:rPr>
          <w:rFonts w:ascii="Times New Roman" w:eastAsia="Times New Roman" w:hAnsi="Times New Roman" w:cs="Times New Roman"/>
          <w:color w:val="000000"/>
          <w:kern w:val="0"/>
          <w:sz w:val="24"/>
          <w:szCs w:val="24"/>
          <w:lang w:val="es-ES" w:eastAsia="es-ES"/>
        </w:rPr>
        <w:t>(en adelante, ‘PIRU’) el cual será diseñado a partir de los lineamientos consensuados en la Mesa de Gestión Participativa para la Reurbanización del Barrio La Carbonilla. Deberá ser aprobado dentro del plazo máximo de doce (12) meses desde la constitución de la MGP. </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4°. Mesa de Gestión Participativa. </w:t>
      </w:r>
      <w:r w:rsidRPr="0021273E">
        <w:rPr>
          <w:rFonts w:ascii="Times New Roman" w:eastAsia="Times New Roman" w:hAnsi="Times New Roman" w:cs="Times New Roman"/>
          <w:color w:val="000000"/>
          <w:kern w:val="0"/>
          <w:sz w:val="24"/>
          <w:szCs w:val="24"/>
          <w:lang w:val="es-ES" w:eastAsia="es-ES"/>
        </w:rPr>
        <w:t>Créase la "Mesa de Gestión Participativa para la Urbanización del Barrio La Carbonilla" (en adelante, ‘MGP’) con el objeto de garantizar e instrumentar la participación de los vecinos del barrio en todas las etapas del proceso de urbanización. La MGP deberá constituirse en un plazo no mayor a los quince (15) días desde la promulgación de la presente ley.</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5°. Conformación de la MGP. </w:t>
      </w:r>
      <w:r w:rsidRPr="0021273E">
        <w:rPr>
          <w:rFonts w:ascii="Times New Roman" w:eastAsia="Times New Roman" w:hAnsi="Times New Roman" w:cs="Times New Roman"/>
          <w:color w:val="000000"/>
          <w:kern w:val="0"/>
          <w:sz w:val="24"/>
          <w:szCs w:val="24"/>
          <w:lang w:val="es-ES" w:eastAsia="es-ES"/>
        </w:rPr>
        <w:t>La MGP estará conformada por los siguientes integrantes:</w:t>
      </w:r>
    </w:p>
    <w:p w:rsidR="0021273E" w:rsidRPr="0021273E" w:rsidRDefault="0021273E" w:rsidP="0021273E">
      <w:pPr>
        <w:numPr>
          <w:ilvl w:val="0"/>
          <w:numId w:val="1"/>
        </w:numPr>
        <w:spacing w:before="137"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El Instituto de Vivienda de la Ciudad (en adelante, "IVC") o el organismo que en el futuro lo reemplace, de carácter obligatorio. </w:t>
      </w:r>
    </w:p>
    <w:p w:rsidR="0021273E" w:rsidRPr="0021273E" w:rsidRDefault="0021273E" w:rsidP="0021273E">
      <w:pPr>
        <w:numPr>
          <w:ilvl w:val="0"/>
          <w:numId w:val="1"/>
        </w:numPr>
        <w:spacing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La Junta Vecinal del Barrio La Carbonilla, integrada por la Comisión Directiva y Delegados de los tres sectores que lo componen, de carácter obligatorio. </w:t>
      </w:r>
    </w:p>
    <w:p w:rsidR="0021273E" w:rsidRPr="0021273E" w:rsidRDefault="0021273E" w:rsidP="0021273E">
      <w:pPr>
        <w:numPr>
          <w:ilvl w:val="0"/>
          <w:numId w:val="1"/>
        </w:numPr>
        <w:spacing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 la Junta Comunal de la Comuna 15 (uno por cada una de las fuerzas con representación en la misma).</w:t>
      </w:r>
    </w:p>
    <w:p w:rsidR="0021273E" w:rsidRPr="0021273E" w:rsidRDefault="0021273E" w:rsidP="0021273E">
      <w:pPr>
        <w:numPr>
          <w:ilvl w:val="0"/>
          <w:numId w:val="1"/>
        </w:numPr>
        <w:spacing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Integrantes de la Comisión de Vivienda de la Legislatura.</w:t>
      </w:r>
    </w:p>
    <w:p w:rsidR="0021273E" w:rsidRPr="0021273E" w:rsidRDefault="0021273E" w:rsidP="0021273E">
      <w:pPr>
        <w:numPr>
          <w:ilvl w:val="0"/>
          <w:numId w:val="1"/>
        </w:numPr>
        <w:spacing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Integrantes de la Comisión de Planeamiento Urbano de la Legislatura. </w:t>
      </w:r>
    </w:p>
    <w:p w:rsidR="0021273E" w:rsidRPr="0021273E" w:rsidRDefault="0021273E" w:rsidP="0021273E">
      <w:pPr>
        <w:numPr>
          <w:ilvl w:val="0"/>
          <w:numId w:val="1"/>
        </w:numPr>
        <w:spacing w:before="133"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Tres (3) integrantes del Consejo Consultivo Comunal de la Comuna 15.</w:t>
      </w:r>
    </w:p>
    <w:p w:rsidR="0021273E" w:rsidRPr="0021273E" w:rsidRDefault="0021273E" w:rsidP="0021273E">
      <w:pPr>
        <w:numPr>
          <w:ilvl w:val="0"/>
          <w:numId w:val="1"/>
        </w:numPr>
        <w:spacing w:before="137"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del Ministerio Público de la Defensa de la Ciudad Autónoma de Buenos Aires, de carácter obligatorio. </w:t>
      </w:r>
    </w:p>
    <w:p w:rsidR="0021273E" w:rsidRPr="0021273E" w:rsidRDefault="0021273E" w:rsidP="0021273E">
      <w:pPr>
        <w:numPr>
          <w:ilvl w:val="0"/>
          <w:numId w:val="1"/>
        </w:numPr>
        <w:spacing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 la Defensoría del Pueblo de la Ciudad de Buenos Aires.</w:t>
      </w:r>
    </w:p>
    <w:p w:rsidR="0021273E" w:rsidRPr="0021273E" w:rsidRDefault="0021273E" w:rsidP="0021273E">
      <w:pPr>
        <w:numPr>
          <w:ilvl w:val="0"/>
          <w:numId w:val="1"/>
        </w:numPr>
        <w:spacing w:before="1"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del Ministerio Público Tutelar de la Ciudad.</w:t>
      </w:r>
    </w:p>
    <w:p w:rsidR="0021273E" w:rsidRPr="0021273E" w:rsidRDefault="0021273E" w:rsidP="0021273E">
      <w:pPr>
        <w:numPr>
          <w:ilvl w:val="0"/>
          <w:numId w:val="1"/>
        </w:numPr>
        <w:spacing w:before="1"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Tres (3) integrantes de hogares beneficiarios con carácter rotativo y obligatorio, según el Artículo 14° de la presente por cada sector del Barrio La Carbonilla. </w:t>
      </w:r>
    </w:p>
    <w:p w:rsidR="0021273E" w:rsidRPr="0021273E" w:rsidRDefault="0021273E" w:rsidP="0021273E">
      <w:pPr>
        <w:spacing w:before="7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La MGP instrumentará los mecanismos necesarios para dar cumplimiento a lo relativo a su funcionamiento mediante la aprobación del reglamento de funcionamiento interno.</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6°. Invitaciones. </w:t>
      </w:r>
      <w:r w:rsidRPr="0021273E">
        <w:rPr>
          <w:rFonts w:ascii="Times New Roman" w:eastAsia="Times New Roman" w:hAnsi="Times New Roman" w:cs="Times New Roman"/>
          <w:color w:val="000000"/>
          <w:kern w:val="0"/>
          <w:sz w:val="24"/>
          <w:szCs w:val="24"/>
          <w:lang w:val="es-ES" w:eastAsia="es-ES"/>
        </w:rPr>
        <w:t xml:space="preserve">Se podrá invitar a participar de la </w:t>
      </w:r>
      <w:proofErr w:type="gramStart"/>
      <w:r w:rsidRPr="0021273E">
        <w:rPr>
          <w:rFonts w:ascii="Times New Roman" w:eastAsia="Times New Roman" w:hAnsi="Times New Roman" w:cs="Times New Roman"/>
          <w:color w:val="000000"/>
          <w:kern w:val="0"/>
          <w:sz w:val="24"/>
          <w:szCs w:val="24"/>
          <w:lang w:val="es-ES" w:eastAsia="es-ES"/>
        </w:rPr>
        <w:t>MGP ,</w:t>
      </w:r>
      <w:proofErr w:type="gramEnd"/>
      <w:r w:rsidRPr="0021273E">
        <w:rPr>
          <w:rFonts w:ascii="Times New Roman" w:eastAsia="Times New Roman" w:hAnsi="Times New Roman" w:cs="Times New Roman"/>
          <w:color w:val="000000"/>
          <w:kern w:val="0"/>
          <w:sz w:val="24"/>
          <w:szCs w:val="24"/>
          <w:lang w:val="es-ES" w:eastAsia="es-ES"/>
        </w:rPr>
        <w:t xml:space="preserve"> con carácter no taxativo a:</w:t>
      </w:r>
    </w:p>
    <w:p w:rsidR="0021273E" w:rsidRPr="0021273E" w:rsidRDefault="0021273E" w:rsidP="0021273E">
      <w:pPr>
        <w:numPr>
          <w:ilvl w:val="0"/>
          <w:numId w:val="2"/>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del Ministerio de Espacio Público e Higiene Urbana del GCBA o el organismo que en un futuro lo reemplace,</w:t>
      </w:r>
    </w:p>
    <w:p w:rsidR="0021273E" w:rsidRPr="0021273E" w:rsidRDefault="0021273E" w:rsidP="0021273E">
      <w:pPr>
        <w:numPr>
          <w:ilvl w:val="0"/>
          <w:numId w:val="2"/>
        </w:numPr>
        <w:spacing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del Ministerio de Hábitat y Desarrollo Humano del GCBA o el organismo que en un futuro lo reemplace,</w:t>
      </w:r>
    </w:p>
    <w:p w:rsidR="0021273E" w:rsidRPr="0021273E" w:rsidRDefault="0021273E" w:rsidP="0021273E">
      <w:pPr>
        <w:numPr>
          <w:ilvl w:val="0"/>
          <w:numId w:val="2"/>
        </w:numPr>
        <w:spacing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 la Secretaría de Desarrollo Urbano y de la Secretaría de Transporte y Obras Públicas del GCBA o el organismo que en un futuro lo reemplace,</w:t>
      </w:r>
    </w:p>
    <w:p w:rsidR="0021273E" w:rsidRPr="0021273E" w:rsidRDefault="0021273E" w:rsidP="0021273E">
      <w:pPr>
        <w:numPr>
          <w:ilvl w:val="0"/>
          <w:numId w:val="2"/>
        </w:numPr>
        <w:spacing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del Ministerio de Desarrollo Territorial y Hábitat de la Nación,</w:t>
      </w:r>
    </w:p>
    <w:p w:rsidR="0021273E" w:rsidRPr="0021273E" w:rsidRDefault="0021273E" w:rsidP="0021273E">
      <w:pPr>
        <w:numPr>
          <w:ilvl w:val="0"/>
          <w:numId w:val="2"/>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Funcionarios de la Agencia de Administración de Bienes del Estado,</w:t>
      </w:r>
    </w:p>
    <w:p w:rsidR="0021273E" w:rsidRPr="0021273E" w:rsidRDefault="0021273E" w:rsidP="0021273E">
      <w:pPr>
        <w:numPr>
          <w:ilvl w:val="0"/>
          <w:numId w:val="2"/>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 empresas prestatarias de servicios públicos;</w:t>
      </w:r>
    </w:p>
    <w:p w:rsidR="0021273E" w:rsidRPr="0021273E" w:rsidRDefault="0021273E" w:rsidP="0021273E">
      <w:pPr>
        <w:numPr>
          <w:ilvl w:val="0"/>
          <w:numId w:val="2"/>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Integrantes de instituciones académicas, asociaciones civiles y profesionales;</w:t>
      </w:r>
    </w:p>
    <w:p w:rsidR="0021273E" w:rsidRPr="0021273E" w:rsidRDefault="0021273E" w:rsidP="0021273E">
      <w:pPr>
        <w:numPr>
          <w:ilvl w:val="0"/>
          <w:numId w:val="2"/>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 la Comisión Permanente de Personas con Discapacidad de la Legislatura de la Ciudad Autónoma de Buenos Aires,</w:t>
      </w:r>
    </w:p>
    <w:p w:rsidR="0021273E" w:rsidRPr="0021273E" w:rsidRDefault="0021273E" w:rsidP="0021273E">
      <w:pPr>
        <w:numPr>
          <w:ilvl w:val="0"/>
          <w:numId w:val="2"/>
        </w:numPr>
        <w:spacing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 otras entidades y organismos del GCBA que se defina por consenso en el ámbito de la MGP.</w:t>
      </w:r>
    </w:p>
    <w:p w:rsidR="0021273E" w:rsidRPr="0021273E" w:rsidRDefault="0021273E" w:rsidP="0021273E">
      <w:pPr>
        <w:numPr>
          <w:ilvl w:val="0"/>
          <w:numId w:val="2"/>
        </w:numPr>
        <w:spacing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 organizaciones barriales, sociales, políticas, religiosas, culturales y deportivas con presencia en el Barrio La Carbonilla.</w:t>
      </w:r>
    </w:p>
    <w:p w:rsidR="0021273E" w:rsidRPr="0021273E" w:rsidRDefault="0021273E" w:rsidP="0021273E">
      <w:pPr>
        <w:numPr>
          <w:ilvl w:val="0"/>
          <w:numId w:val="2"/>
        </w:numPr>
        <w:spacing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Integrantes de hogares beneficiarios según el artículo 14° de la presente que sean afectados por potenciales acciones en el proceso de reurbanización.</w:t>
      </w:r>
    </w:p>
    <w:p w:rsidR="0021273E" w:rsidRPr="0021273E" w:rsidRDefault="0021273E" w:rsidP="0021273E">
      <w:pPr>
        <w:numPr>
          <w:ilvl w:val="0"/>
          <w:numId w:val="2"/>
        </w:numPr>
        <w:spacing w:before="137"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Representantes del organismo nacional encargado de implementar la Ley 27.453- “</w:t>
      </w:r>
      <w:proofErr w:type="spellStart"/>
      <w:r w:rsidRPr="0021273E">
        <w:rPr>
          <w:rFonts w:ascii="Times New Roman" w:eastAsia="Times New Roman" w:hAnsi="Times New Roman" w:cs="Times New Roman"/>
          <w:color w:val="000000"/>
          <w:kern w:val="0"/>
          <w:sz w:val="24"/>
          <w:szCs w:val="24"/>
          <w:lang w:val="es-ES" w:eastAsia="es-ES"/>
        </w:rPr>
        <w:t>Regimen</w:t>
      </w:r>
      <w:proofErr w:type="spellEnd"/>
      <w:r w:rsidRPr="0021273E">
        <w:rPr>
          <w:rFonts w:ascii="Times New Roman" w:eastAsia="Times New Roman" w:hAnsi="Times New Roman" w:cs="Times New Roman"/>
          <w:color w:val="000000"/>
          <w:kern w:val="0"/>
          <w:sz w:val="24"/>
          <w:szCs w:val="24"/>
          <w:lang w:val="es-ES" w:eastAsia="es-ES"/>
        </w:rPr>
        <w:t xml:space="preserve"> de regularización </w:t>
      </w:r>
      <w:proofErr w:type="spellStart"/>
      <w:r w:rsidRPr="0021273E">
        <w:rPr>
          <w:rFonts w:ascii="Times New Roman" w:eastAsia="Times New Roman" w:hAnsi="Times New Roman" w:cs="Times New Roman"/>
          <w:color w:val="000000"/>
          <w:kern w:val="0"/>
          <w:sz w:val="24"/>
          <w:szCs w:val="24"/>
          <w:lang w:val="es-ES" w:eastAsia="es-ES"/>
        </w:rPr>
        <w:t>dominial</w:t>
      </w:r>
      <w:proofErr w:type="spellEnd"/>
      <w:r w:rsidRPr="0021273E">
        <w:rPr>
          <w:rFonts w:ascii="Times New Roman" w:eastAsia="Times New Roman" w:hAnsi="Times New Roman" w:cs="Times New Roman"/>
          <w:color w:val="000000"/>
          <w:kern w:val="0"/>
          <w:sz w:val="24"/>
          <w:szCs w:val="24"/>
          <w:lang w:val="es-ES" w:eastAsia="es-ES"/>
        </w:rPr>
        <w:t xml:space="preserve"> para la integración </w:t>
      </w:r>
      <w:proofErr w:type="spellStart"/>
      <w:r w:rsidRPr="0021273E">
        <w:rPr>
          <w:rFonts w:ascii="Times New Roman" w:eastAsia="Times New Roman" w:hAnsi="Times New Roman" w:cs="Times New Roman"/>
          <w:color w:val="000000"/>
          <w:kern w:val="0"/>
          <w:sz w:val="24"/>
          <w:szCs w:val="24"/>
          <w:lang w:val="es-ES" w:eastAsia="es-ES"/>
        </w:rPr>
        <w:t>sociourbana</w:t>
      </w:r>
      <w:proofErr w:type="spellEnd"/>
      <w:proofErr w:type="gramStart"/>
      <w:r w:rsidRPr="0021273E">
        <w:rPr>
          <w:rFonts w:ascii="Times New Roman" w:eastAsia="Times New Roman" w:hAnsi="Times New Roman" w:cs="Times New Roman"/>
          <w:color w:val="000000"/>
          <w:kern w:val="0"/>
          <w:sz w:val="24"/>
          <w:szCs w:val="24"/>
          <w:lang w:val="es-ES" w:eastAsia="es-ES"/>
        </w:rPr>
        <w:t xml:space="preserve">” </w:t>
      </w:r>
      <w:r w:rsidRPr="0021273E">
        <w:rPr>
          <w:rFonts w:ascii="Times New Roman" w:eastAsia="Times New Roman" w:hAnsi="Times New Roman" w:cs="Times New Roman"/>
          <w:b/>
          <w:bCs/>
          <w:color w:val="000000"/>
          <w:kern w:val="0"/>
          <w:sz w:val="24"/>
          <w:szCs w:val="24"/>
          <w:lang w:val="es-ES" w:eastAsia="es-ES"/>
        </w:rPr>
        <w:t>.</w:t>
      </w:r>
      <w:proofErr w:type="gramEnd"/>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7°. Funciones de la MGP. </w:t>
      </w:r>
      <w:r w:rsidRPr="0021273E">
        <w:rPr>
          <w:rFonts w:ascii="Times New Roman" w:eastAsia="Times New Roman" w:hAnsi="Times New Roman" w:cs="Times New Roman"/>
          <w:color w:val="000000"/>
          <w:kern w:val="0"/>
          <w:sz w:val="24"/>
          <w:szCs w:val="24"/>
          <w:lang w:val="es-ES" w:eastAsia="es-ES"/>
        </w:rPr>
        <w:t>Son funciones de la MGP:</w:t>
      </w:r>
    </w:p>
    <w:p w:rsidR="0021273E" w:rsidRPr="0021273E" w:rsidRDefault="0021273E" w:rsidP="0021273E">
      <w:pPr>
        <w:numPr>
          <w:ilvl w:val="0"/>
          <w:numId w:val="3"/>
        </w:numPr>
        <w:spacing w:before="141"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Confeccionar el reglamento de funcionamiento de la misma dentro de las primeras tres</w:t>
      </w:r>
    </w:p>
    <w:p w:rsidR="0021273E" w:rsidRPr="0021273E" w:rsidRDefault="0021273E" w:rsidP="0021273E">
      <w:pPr>
        <w:spacing w:before="137"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(3) sesiones.</w:t>
      </w:r>
    </w:p>
    <w:p w:rsidR="0021273E" w:rsidRPr="0021273E" w:rsidRDefault="0021273E" w:rsidP="0021273E">
      <w:pPr>
        <w:numPr>
          <w:ilvl w:val="0"/>
          <w:numId w:val="4"/>
        </w:numPr>
        <w:spacing w:before="137"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Definir las acciones y criterios para el desarrollo del PIRU, para sus etapas de diagnóstico, diseño, elaboración, ejecución, control, monitoreo y evaluación, en un plazo no mayor a noventa (90) días a partir de su constitución.</w:t>
      </w:r>
    </w:p>
    <w:p w:rsidR="0021273E" w:rsidRPr="0021273E" w:rsidRDefault="0021273E" w:rsidP="0021273E">
      <w:pPr>
        <w:numPr>
          <w:ilvl w:val="0"/>
          <w:numId w:val="5"/>
        </w:numPr>
        <w:spacing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Participar modificaciones sobre las políticas y procesos propuestos o desarrollados por la autoridad de aplicación en el marco del PIRU, y llegar a consensos.</w:t>
      </w:r>
    </w:p>
    <w:p w:rsidR="0021273E" w:rsidRPr="0021273E" w:rsidRDefault="0021273E" w:rsidP="0021273E">
      <w:pPr>
        <w:numPr>
          <w:ilvl w:val="0"/>
          <w:numId w:val="6"/>
        </w:numPr>
        <w:spacing w:before="35"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Fomentar y acompañar la participación activa de los habitantes del barrio.</w:t>
      </w:r>
    </w:p>
    <w:p w:rsidR="0021273E" w:rsidRPr="0021273E" w:rsidRDefault="0021273E" w:rsidP="0021273E">
      <w:pPr>
        <w:numPr>
          <w:ilvl w:val="0"/>
          <w:numId w:val="7"/>
        </w:numPr>
        <w:spacing w:before="185"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Solicitar asesoramiento a asociaciones profesionales, instituciones académicas y equipos técnicos.</w:t>
      </w:r>
    </w:p>
    <w:p w:rsidR="0021273E" w:rsidRPr="0021273E" w:rsidRDefault="0021273E" w:rsidP="0021273E">
      <w:pPr>
        <w:numPr>
          <w:ilvl w:val="0"/>
          <w:numId w:val="8"/>
        </w:numPr>
        <w:spacing w:before="185"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Solicitar informes a los distintos organismos de la administración pública, y a toda persona física y/o jurídica, que considere necesarios para las definiciones y el desarrollo del PIRU, que deberán otorgar en un plazo no mayor a veinte (20) días hábiles.</w:t>
      </w:r>
    </w:p>
    <w:p w:rsidR="0021273E" w:rsidRPr="0021273E" w:rsidRDefault="0021273E" w:rsidP="0021273E">
      <w:pPr>
        <w:numPr>
          <w:ilvl w:val="0"/>
          <w:numId w:val="9"/>
        </w:numPr>
        <w:spacing w:before="7"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Realizar seguimiento de las obras y ejecuciones presupuestarias implicadas en el PIRU.</w:t>
      </w:r>
    </w:p>
    <w:p w:rsidR="0021273E" w:rsidRPr="0021273E" w:rsidRDefault="0021273E" w:rsidP="0021273E">
      <w:pPr>
        <w:numPr>
          <w:ilvl w:val="0"/>
          <w:numId w:val="10"/>
        </w:numPr>
        <w:spacing w:before="175"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Convocar a asambleas por sector, talleres de manzana o reuniones de otra índole con habitantes del barrio, a los fines de cumplir el objeto de la presente ley.</w:t>
      </w:r>
    </w:p>
    <w:p w:rsidR="0021273E" w:rsidRPr="0021273E" w:rsidRDefault="0021273E" w:rsidP="0021273E">
      <w:pPr>
        <w:numPr>
          <w:ilvl w:val="0"/>
          <w:numId w:val="11"/>
        </w:numPr>
        <w:spacing w:before="1"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Realizar un Relevamiento Socio- habitacional según lo establecido en el artículo 14° de la presente ley.</w:t>
      </w:r>
    </w:p>
    <w:p w:rsidR="0021273E" w:rsidRPr="0021273E" w:rsidRDefault="0021273E" w:rsidP="0021273E">
      <w:pPr>
        <w:numPr>
          <w:ilvl w:val="0"/>
          <w:numId w:val="12"/>
        </w:numPr>
        <w:spacing w:before="1"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Elevar a la Legislatura de la Ciudad el proyecto de adecuación de la normativa urbana, conforme lo establecido en el Artículo 40 de la presente.</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8°. Coordinación de la MGP. </w:t>
      </w:r>
      <w:r w:rsidRPr="0021273E">
        <w:rPr>
          <w:rFonts w:ascii="Times New Roman" w:eastAsia="Times New Roman" w:hAnsi="Times New Roman" w:cs="Times New Roman"/>
          <w:color w:val="000000"/>
          <w:kern w:val="0"/>
          <w:sz w:val="24"/>
          <w:szCs w:val="24"/>
          <w:lang w:val="es-ES" w:eastAsia="es-ES"/>
        </w:rPr>
        <w:t xml:space="preserve">La MGP estará coordinada por el IVC, o el organismo que en un futuro lo reemplace, en </w:t>
      </w:r>
      <w:proofErr w:type="gramStart"/>
      <w:r w:rsidRPr="0021273E">
        <w:rPr>
          <w:rFonts w:ascii="Times New Roman" w:eastAsia="Times New Roman" w:hAnsi="Times New Roman" w:cs="Times New Roman"/>
          <w:color w:val="000000"/>
          <w:kern w:val="0"/>
          <w:sz w:val="24"/>
          <w:szCs w:val="24"/>
          <w:lang w:val="es-ES" w:eastAsia="es-ES"/>
        </w:rPr>
        <w:t>tanto</w:t>
      </w:r>
      <w:proofErr w:type="gramEnd"/>
      <w:r w:rsidRPr="0021273E">
        <w:rPr>
          <w:rFonts w:ascii="Times New Roman" w:eastAsia="Times New Roman" w:hAnsi="Times New Roman" w:cs="Times New Roman"/>
          <w:color w:val="000000"/>
          <w:kern w:val="0"/>
          <w:sz w:val="24"/>
          <w:szCs w:val="24"/>
          <w:lang w:val="es-ES" w:eastAsia="es-ES"/>
        </w:rPr>
        <w:t xml:space="preserve"> autoridad de aplicación de la presente. Será responsable </w:t>
      </w: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lastRenderedPageBreak/>
        <w:t>de dar difusión de los días, horarios y lugares de realización de las reuniones de la MGP con una antelación mínima de setenta y dos (72) horas, dentro del polígono delimitado en el Artículo 2° de la presente.</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La MGP deberá ser convocada como mínimo una (1) vez cada quince (15) días durante los primeros doce (12) meses contados desde la sanción de la presente ley. Con posterioridad a ello, la periodicidad será determinada por la MGP, de acuerdo con las necesidades y estado del PIRU. La MGP deberá convocar trimestralmente a asambleas generales en el barrio para garantizar el acceso a la información y la participación de todos los vecinos en el proceso de urbanización. La convocatoria a la asamblea general será responsabilidad de la MGP y deberá informar a los vecinos del barrio con suficiente antelación, quienes podrán ser acompañados por asesores técnicos de su elección. Cada reunión de la MGP deberá ser filmada y publicada en soportes virtuales de público acceso.</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9°. Objeto obligatorio de la MGP. </w:t>
      </w:r>
      <w:r w:rsidRPr="0021273E">
        <w:rPr>
          <w:rFonts w:ascii="Times New Roman" w:eastAsia="Times New Roman" w:hAnsi="Times New Roman" w:cs="Times New Roman"/>
          <w:color w:val="000000"/>
          <w:kern w:val="0"/>
          <w:sz w:val="24"/>
          <w:szCs w:val="24"/>
          <w:lang w:val="es-ES" w:eastAsia="es-ES"/>
        </w:rPr>
        <w:t>Serán objeto de tratamiento obligatorio en el ámbito de la MGP, previo a la adopción de cualquier decisión por parte de la autoridad de aplicación las siguientes acciones:</w:t>
      </w:r>
    </w:p>
    <w:p w:rsidR="0021273E" w:rsidRPr="0021273E" w:rsidRDefault="0021273E" w:rsidP="0021273E">
      <w:pPr>
        <w:numPr>
          <w:ilvl w:val="0"/>
          <w:numId w:val="13"/>
        </w:numPr>
        <w:spacing w:before="1"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Diseño y ejecución del relevamiento y diagnóstico físico y social.</w:t>
      </w:r>
    </w:p>
    <w:p w:rsidR="0021273E" w:rsidRPr="0021273E" w:rsidRDefault="0021273E" w:rsidP="0021273E">
      <w:pPr>
        <w:numPr>
          <w:ilvl w:val="0"/>
          <w:numId w:val="13"/>
        </w:numPr>
        <w:spacing w:before="176"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Conformación de mecanismos de actualización del padrón de beneficiarios.</w:t>
      </w:r>
    </w:p>
    <w:p w:rsidR="0021273E" w:rsidRPr="0021273E" w:rsidRDefault="0021273E" w:rsidP="0021273E">
      <w:pPr>
        <w:numPr>
          <w:ilvl w:val="0"/>
          <w:numId w:val="13"/>
        </w:numPr>
        <w:spacing w:before="151"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Definir criterios para relocalizaciones, construcción y adjudicación de viviendas nuevas y mejoramiento de viviendas existentes.</w:t>
      </w:r>
    </w:p>
    <w:p w:rsidR="0021273E" w:rsidRPr="0021273E" w:rsidRDefault="0021273E" w:rsidP="0021273E">
      <w:pPr>
        <w:numPr>
          <w:ilvl w:val="0"/>
          <w:numId w:val="13"/>
        </w:numPr>
        <w:spacing w:before="8"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Mecanismos de escrituración.</w:t>
      </w:r>
    </w:p>
    <w:p w:rsidR="0021273E" w:rsidRPr="0021273E" w:rsidRDefault="0021273E" w:rsidP="0021273E">
      <w:pPr>
        <w:numPr>
          <w:ilvl w:val="0"/>
          <w:numId w:val="13"/>
        </w:numPr>
        <w:spacing w:before="138" w:after="0" w:line="240" w:lineRule="auto"/>
        <w:ind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Criterios de prioridad en la adjudicación de viviendas y soluciones habitacionales definitivas, considerando, entre otros:</w:t>
      </w:r>
    </w:p>
    <w:p w:rsidR="0021273E" w:rsidRPr="0021273E" w:rsidRDefault="0021273E" w:rsidP="0021273E">
      <w:pPr>
        <w:numPr>
          <w:ilvl w:val="1"/>
          <w:numId w:val="14"/>
        </w:numPr>
        <w:spacing w:before="2"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Hogares que habiten viviendas en riesgo de derrumbe o de alta precariedad en los</w:t>
      </w:r>
    </w:p>
    <w:p w:rsidR="0021273E" w:rsidRPr="0021273E" w:rsidRDefault="0021273E" w:rsidP="0021273E">
      <w:pPr>
        <w:spacing w:before="71" w:after="0" w:line="240" w:lineRule="auto"/>
        <w:ind w:left="-142" w:right="-96"/>
        <w:rPr>
          <w:rFonts w:ascii="Times New Roman" w:eastAsia="Times New Roman" w:hAnsi="Times New Roman" w:cs="Times New Roman"/>
          <w:kern w:val="0"/>
          <w:sz w:val="24"/>
          <w:szCs w:val="24"/>
          <w:lang w:val="es-ES" w:eastAsia="es-ES"/>
        </w:rPr>
      </w:pPr>
      <w:proofErr w:type="gramStart"/>
      <w:r w:rsidRPr="0021273E">
        <w:rPr>
          <w:rFonts w:ascii="Times New Roman" w:eastAsia="Times New Roman" w:hAnsi="Times New Roman" w:cs="Times New Roman"/>
          <w:color w:val="000000"/>
          <w:kern w:val="0"/>
          <w:sz w:val="24"/>
          <w:szCs w:val="24"/>
          <w:lang w:val="es-ES" w:eastAsia="es-ES"/>
        </w:rPr>
        <w:t>materiales</w:t>
      </w:r>
      <w:proofErr w:type="gramEnd"/>
      <w:r w:rsidRPr="0021273E">
        <w:rPr>
          <w:rFonts w:ascii="Times New Roman" w:eastAsia="Times New Roman" w:hAnsi="Times New Roman" w:cs="Times New Roman"/>
          <w:color w:val="000000"/>
          <w:kern w:val="0"/>
          <w:sz w:val="24"/>
          <w:szCs w:val="24"/>
          <w:lang w:val="es-ES" w:eastAsia="es-ES"/>
        </w:rPr>
        <w:t>;</w:t>
      </w:r>
    </w:p>
    <w:p w:rsidR="0021273E" w:rsidRPr="0021273E" w:rsidRDefault="0021273E" w:rsidP="0021273E">
      <w:pPr>
        <w:numPr>
          <w:ilvl w:val="0"/>
          <w:numId w:val="15"/>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Hogares que habiten viviendas emplazadas sobre la traza de las vías circulatorias a materializar;</w:t>
      </w:r>
    </w:p>
    <w:p w:rsidR="0021273E" w:rsidRPr="0021273E" w:rsidRDefault="0021273E" w:rsidP="0021273E">
      <w:pPr>
        <w:numPr>
          <w:ilvl w:val="0"/>
          <w:numId w:val="15"/>
        </w:numPr>
        <w:spacing w:before="3"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Hogares con personas con discapacidad y/o adultos mayores;</w:t>
      </w:r>
    </w:p>
    <w:p w:rsidR="0021273E" w:rsidRPr="0021273E" w:rsidRDefault="0021273E" w:rsidP="0021273E">
      <w:pPr>
        <w:numPr>
          <w:ilvl w:val="0"/>
          <w:numId w:val="15"/>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Hogares que requieran relocalización por hacinamiento;</w:t>
      </w:r>
    </w:p>
    <w:p w:rsidR="0021273E" w:rsidRPr="0021273E" w:rsidRDefault="0021273E" w:rsidP="0021273E">
      <w:pPr>
        <w:numPr>
          <w:ilvl w:val="0"/>
          <w:numId w:val="15"/>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Hogares que requieran relocalización por esponjamiento;</w:t>
      </w:r>
    </w:p>
    <w:p w:rsidR="0021273E" w:rsidRPr="0021273E" w:rsidRDefault="0021273E" w:rsidP="0021273E">
      <w:pPr>
        <w:numPr>
          <w:ilvl w:val="0"/>
          <w:numId w:val="15"/>
        </w:numPr>
        <w:spacing w:before="137" w:after="0" w:line="240" w:lineRule="auto"/>
        <w:ind w:left="218" w:right="-96"/>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Víctimas de violencia de género.</w:t>
      </w:r>
    </w:p>
    <w:p w:rsidR="0021273E" w:rsidRPr="0021273E" w:rsidRDefault="0021273E" w:rsidP="0021273E">
      <w:pPr>
        <w:numPr>
          <w:ilvl w:val="0"/>
          <w:numId w:val="16"/>
        </w:numPr>
        <w:spacing w:before="180"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Afectación de inmuebles o terrenos al PIRU.</w:t>
      </w:r>
    </w:p>
    <w:p w:rsidR="0021273E" w:rsidRPr="0021273E" w:rsidRDefault="0021273E" w:rsidP="0021273E">
      <w:pPr>
        <w:numPr>
          <w:ilvl w:val="0"/>
          <w:numId w:val="17"/>
        </w:numPr>
        <w:spacing w:before="137"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Definición de inmuebles a recalificar, reconfigurar y consolidar.</w:t>
      </w:r>
    </w:p>
    <w:p w:rsidR="0021273E" w:rsidRPr="0021273E" w:rsidRDefault="0021273E" w:rsidP="0021273E">
      <w:pPr>
        <w:numPr>
          <w:ilvl w:val="0"/>
          <w:numId w:val="18"/>
        </w:numPr>
        <w:spacing w:before="180"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Consolidación de las vías de circulación y movilidad: prolongación, apertura y ensanche de calles, pasajes y pasillos existentes.</w:t>
      </w:r>
    </w:p>
    <w:p w:rsidR="0021273E" w:rsidRPr="0021273E" w:rsidRDefault="0021273E" w:rsidP="0021273E">
      <w:pPr>
        <w:numPr>
          <w:ilvl w:val="0"/>
          <w:numId w:val="19"/>
        </w:numPr>
        <w:spacing w:before="2"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Provisión de equipamiento urbano, contemplando la factibilidad de incorporar establecimientos y/o servicios de salud, educación, cultura, culto, deporte y esparcimiento.</w:t>
      </w:r>
    </w:p>
    <w:p w:rsidR="0021273E" w:rsidRPr="0021273E" w:rsidRDefault="0021273E" w:rsidP="0021273E">
      <w:pPr>
        <w:numPr>
          <w:ilvl w:val="0"/>
          <w:numId w:val="20"/>
        </w:numPr>
        <w:spacing w:before="2"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Puesta en valor, ampliación, mantenimiento y creación de espacios públicos.</w:t>
      </w:r>
    </w:p>
    <w:p w:rsidR="0021273E" w:rsidRPr="0021273E" w:rsidRDefault="0021273E" w:rsidP="0021273E">
      <w:pPr>
        <w:numPr>
          <w:ilvl w:val="0"/>
          <w:numId w:val="21"/>
        </w:numPr>
        <w:spacing w:before="180"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Ampliación de la infraestructura de servicios urbanos incluyendo redes de agua potable, energía eléctrica, desagües cloacales, desagües pluviales, alumbrado público, higiene urbana, servicios de internet de banda ancha, correo y telecomunicaciones.</w:t>
      </w:r>
    </w:p>
    <w:p w:rsidR="0021273E" w:rsidRPr="0021273E" w:rsidRDefault="0021273E" w:rsidP="0021273E">
      <w:pPr>
        <w:numPr>
          <w:ilvl w:val="0"/>
          <w:numId w:val="22"/>
        </w:numPr>
        <w:spacing w:before="1"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Parámetros rectores de sustentabilidad y durabilidad en el PIRU.</w:t>
      </w:r>
    </w:p>
    <w:p w:rsidR="0021273E" w:rsidRPr="0021273E" w:rsidRDefault="0021273E" w:rsidP="0021273E">
      <w:pPr>
        <w:numPr>
          <w:ilvl w:val="0"/>
          <w:numId w:val="23"/>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Fortalecimiento de las actividades productivas y económicas del barrio respetando las existentes.</w:t>
      </w:r>
    </w:p>
    <w:p w:rsidR="0021273E" w:rsidRPr="0021273E" w:rsidRDefault="0021273E" w:rsidP="0021273E">
      <w:pPr>
        <w:numPr>
          <w:ilvl w:val="0"/>
          <w:numId w:val="24"/>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Abordaje sobre la situación de los inquilinos.</w:t>
      </w:r>
    </w:p>
    <w:p w:rsidR="0021273E" w:rsidRPr="0021273E" w:rsidRDefault="0021273E" w:rsidP="0021273E">
      <w:pPr>
        <w:numPr>
          <w:ilvl w:val="0"/>
          <w:numId w:val="25"/>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Tratamiento obligatorio de los regímenes de creación, acompañamiento y consolidación de la organización consorcial </w:t>
      </w:r>
    </w:p>
    <w:p w:rsidR="0021273E" w:rsidRPr="0021273E" w:rsidRDefault="0021273E" w:rsidP="0021273E">
      <w:pPr>
        <w:numPr>
          <w:ilvl w:val="0"/>
          <w:numId w:val="26"/>
        </w:numPr>
        <w:spacing w:before="137"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Régimen de promoción, regularización y habilitación de los locales comerciales, establecimientos productivos y laborales en general situados dentro del barrio.</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10°. Autoridad de aplicación. </w:t>
      </w:r>
      <w:proofErr w:type="spellStart"/>
      <w:r w:rsidRPr="0021273E">
        <w:rPr>
          <w:rFonts w:ascii="Times New Roman" w:eastAsia="Times New Roman" w:hAnsi="Times New Roman" w:cs="Times New Roman"/>
          <w:color w:val="000000"/>
          <w:kern w:val="0"/>
          <w:sz w:val="24"/>
          <w:szCs w:val="24"/>
          <w:lang w:val="es-ES" w:eastAsia="es-ES"/>
        </w:rPr>
        <w:t>Desígnase</w:t>
      </w:r>
      <w:proofErr w:type="spellEnd"/>
      <w:r w:rsidRPr="0021273E">
        <w:rPr>
          <w:rFonts w:ascii="Times New Roman" w:eastAsia="Times New Roman" w:hAnsi="Times New Roman" w:cs="Times New Roman"/>
          <w:color w:val="000000"/>
          <w:kern w:val="0"/>
          <w:sz w:val="24"/>
          <w:szCs w:val="24"/>
          <w:lang w:val="es-ES" w:eastAsia="es-ES"/>
        </w:rPr>
        <w:t xml:space="preserve"> como autoridad de aplicación al Instituto de Vivienda de la Ciudad dependiente del Ministerio de Desarrollo Humano y Hábitat o al organismo que en el futuro lo reemplace.</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11°. Funciones de la autoridad de aplicación. </w:t>
      </w:r>
      <w:r w:rsidRPr="0021273E">
        <w:rPr>
          <w:rFonts w:ascii="Times New Roman" w:eastAsia="Times New Roman" w:hAnsi="Times New Roman" w:cs="Times New Roman"/>
          <w:color w:val="000000"/>
          <w:kern w:val="0"/>
          <w:sz w:val="24"/>
          <w:szCs w:val="24"/>
          <w:lang w:val="es-ES" w:eastAsia="es-ES"/>
        </w:rPr>
        <w:t>Son funciones de la autoridad de aplicación:</w:t>
      </w:r>
    </w:p>
    <w:p w:rsidR="0021273E" w:rsidRPr="0021273E" w:rsidRDefault="0021273E" w:rsidP="0021273E">
      <w:pPr>
        <w:numPr>
          <w:ilvl w:val="0"/>
          <w:numId w:val="27"/>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Garantizar, promover, difundir y coordinar instancias de la Mesa de Gestión Participativa para la Reurbanización del Barrio La Carbonilla y toda instancia que solicite la misma a los fines de la presente ley.</w:t>
      </w:r>
    </w:p>
    <w:p w:rsidR="0021273E" w:rsidRPr="0021273E" w:rsidRDefault="0021273E" w:rsidP="0021273E">
      <w:pPr>
        <w:numPr>
          <w:ilvl w:val="0"/>
          <w:numId w:val="27"/>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Ejecutar políticas, obras y procesos consensuados en la Mesa de Gestión Participativa y en conjunto con las áreas competentes dirigidos a la reurbanización del barrio y ejecución  del PIRU.</w:t>
      </w:r>
    </w:p>
    <w:p w:rsidR="0021273E" w:rsidRPr="0021273E" w:rsidRDefault="0021273E" w:rsidP="0021273E">
      <w:pPr>
        <w:numPr>
          <w:ilvl w:val="0"/>
          <w:numId w:val="27"/>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Diseñar y promover, en conjunto con las áreas competentes, acciones referidas a la mejora de la competitividad y formalización de los locales comerciales, establecimientos productivos y laborales en general situados dentro del barrio, la inserción socioeconómica de sus habitantes y la generación de empleo formal. A tal fin, deberá formular un régimen de promoción, regularización y habilitación de los mismos, y diseñar instrumentos de asistencia técnica y financiera para su cumplimiento.</w:t>
      </w:r>
    </w:p>
    <w:p w:rsidR="0021273E" w:rsidRPr="0021273E" w:rsidRDefault="0021273E" w:rsidP="0021273E">
      <w:pPr>
        <w:numPr>
          <w:ilvl w:val="0"/>
          <w:numId w:val="27"/>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Informar trimestralmente en forma escrita y pública sobre los avances generales del proceso de reurbanización, así como dar respuesta a las consultas que cualquier integrante de la Mesa de Gestión Participativa en un plazo perentorio de diez (10) días hábiles.</w:t>
      </w:r>
    </w:p>
    <w:p w:rsidR="0021273E" w:rsidRPr="0021273E" w:rsidRDefault="0021273E" w:rsidP="0021273E">
      <w:pPr>
        <w:numPr>
          <w:ilvl w:val="0"/>
          <w:numId w:val="27"/>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Remitir semestralmente a la Legislatura de la Ciudad Autónoma de Buenos Aires un informe de avance, diagnóstico y presupuesto destinado a las acciones emprendidas por el PIRU y al proceso de reurbanización e integración social, cultural, ambiental y urbana del barrio La Carbonilla.</w:t>
      </w:r>
    </w:p>
    <w:p w:rsidR="0021273E" w:rsidRPr="0021273E" w:rsidRDefault="0021273E" w:rsidP="0021273E">
      <w:pPr>
        <w:numPr>
          <w:ilvl w:val="0"/>
          <w:numId w:val="27"/>
        </w:numPr>
        <w:spacing w:before="176"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El IVC, es el responsable de brindar información completa, veraz, adecuada y oportuna sobre el PIRU en las distintas etapas y mediante medios que sean accesibles para las vecinas y vecinos.</w:t>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CAPÍTULO IV </w:t>
      </w: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DISPOSICIONES GENERALES DEL PIRU</w:t>
      </w:r>
    </w:p>
    <w:p w:rsidR="0021273E" w:rsidRPr="0021273E" w:rsidRDefault="0021273E" w:rsidP="0021273E">
      <w:pPr>
        <w:spacing w:before="309"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12°. Diagnóstico físico y social. </w:t>
      </w:r>
      <w:r w:rsidRPr="0021273E">
        <w:rPr>
          <w:rFonts w:ascii="Times New Roman" w:eastAsia="Times New Roman" w:hAnsi="Times New Roman" w:cs="Times New Roman"/>
          <w:color w:val="000000"/>
          <w:kern w:val="0"/>
          <w:sz w:val="24"/>
          <w:szCs w:val="24"/>
          <w:lang w:val="es-ES" w:eastAsia="es-ES"/>
        </w:rPr>
        <w:t>Realícese un diagnóstico físico y social que contemple la identificación de problemáticas sociales, habitacionales y ambientales; considerando variables sobre las condiciones de habitabilidad, las necesidades básicas insatisfechas, el acceso a la salud, la educación y empleo de los habitantes del barrio. Para ello se llevará adelante un relevamiento integral que permita conocer el estado de situación al inicio del PIRU. El plano y documentación resultantes tendrán reconocimiento como antecedentes de los hechos existentes, como base pre catastral donde proyectar las adecuaciones para la conformación de los planos de catastro, mensura y subdivisión necesarios para el proceso de regularización de las viviendas. Incluirá:</w:t>
      </w:r>
    </w:p>
    <w:p w:rsidR="0021273E" w:rsidRPr="0021273E" w:rsidRDefault="0021273E" w:rsidP="0021273E">
      <w:pPr>
        <w:numPr>
          <w:ilvl w:val="0"/>
          <w:numId w:val="28"/>
        </w:numPr>
        <w:spacing w:before="1"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Hogares propietarios e inquilinos. Se considera hogar a aquella persona o grupo de personas que viven bajo un mismo techo y comparten los gastos de alimentación. En casos de hacinamiento por cohabitación serán inscriptos los hogares de manera diferenciada.</w:t>
      </w:r>
    </w:p>
    <w:p w:rsidR="0021273E" w:rsidRPr="0021273E" w:rsidRDefault="0021273E" w:rsidP="0021273E">
      <w:pPr>
        <w:numPr>
          <w:ilvl w:val="0"/>
          <w:numId w:val="28"/>
        </w:numPr>
        <w:spacing w:before="1"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Viviendas y sus características, incluyendo materiales, metros cuadrados y valuación.</w:t>
      </w:r>
    </w:p>
    <w:p w:rsidR="0021273E" w:rsidRPr="0021273E" w:rsidRDefault="0021273E" w:rsidP="0021273E">
      <w:pPr>
        <w:numPr>
          <w:ilvl w:val="0"/>
          <w:numId w:val="28"/>
        </w:numPr>
        <w:spacing w:before="1"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Unidades Productivas y Comercios, sus características incluyendo materiales, metros cuadrados y valuación.</w:t>
      </w:r>
    </w:p>
    <w:p w:rsidR="0021273E" w:rsidRPr="0021273E" w:rsidRDefault="0021273E" w:rsidP="0021273E">
      <w:pPr>
        <w:numPr>
          <w:ilvl w:val="0"/>
          <w:numId w:val="28"/>
        </w:numPr>
        <w:spacing w:before="1" w:after="0" w:line="240" w:lineRule="auto"/>
        <w:ind w:left="218"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Espacios deportivos, educativos, sociales, religiosos, culturales y comunitarios.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13°. Afectación de inmuebles. </w:t>
      </w:r>
      <w:r w:rsidRPr="0021273E">
        <w:rPr>
          <w:rFonts w:ascii="Times New Roman" w:eastAsia="Times New Roman" w:hAnsi="Times New Roman" w:cs="Times New Roman"/>
          <w:color w:val="000000"/>
          <w:kern w:val="0"/>
          <w:sz w:val="24"/>
          <w:szCs w:val="24"/>
          <w:lang w:val="es-ES" w:eastAsia="es-ES"/>
        </w:rPr>
        <w:t>Realícese un relevamiento de inmuebles de dominio público o privado del GCBA y de dominio privado en desuso en un radio de un kilómetro en torno al polígono y dentro del mismo plausibles de afectar al PIRU para su readecuación funcional con destino a viviendas nuevas o equipamiento urbano.</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14°. Beneficiarios. </w:t>
      </w:r>
      <w:r w:rsidRPr="0021273E">
        <w:rPr>
          <w:rFonts w:ascii="Times New Roman" w:eastAsia="Times New Roman" w:hAnsi="Times New Roman" w:cs="Times New Roman"/>
          <w:color w:val="000000"/>
          <w:kern w:val="0"/>
          <w:sz w:val="24"/>
          <w:szCs w:val="24"/>
          <w:lang w:val="es-ES" w:eastAsia="es-ES"/>
        </w:rPr>
        <w:t>Todos los hogares de La Carbonilla que habiten en el barrio con anterioridad a la promulgación de la presente tendrán derecho a una solución habitacional única y definitiva acorde a los parámetros definidos en el artículo 15° de la presente. El Relevamiento Socio-Habitacional será diseñado y ejecutado de manera conjunta por la Mesa de Gestión Participativa (MGP) y la autoridad de aplicación, con participación de la Junta Vecinal, y tendrá por objeto identificar y registrar a la totalidad de las personas y hogares que residan efectivamente dentro del polígono al momento de la sanción de la presente ley, incluyendo expresamente a poseedores, inquilinos, subinquilinos y convivientes. El relevamiento tendrá carácter dinámico y deberá contemplar instancias periódicas de actualización, a fin de registrar las modificaciones en la composición de los hogares y evitar que la demora entre el relevamiento inicial y la implementación de las soluciones habitacionales, genere exclusiones injustificadas. La incorporación de personas u hogares será evaluada por la Comisión de Revisión creada por el párrafo siguiente y solo será posible cuando se acredite residencia efectiva en el polígono a la fecha de la sanción de la presente ley. </w:t>
      </w: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La MGP tendrá acceso irrestricto a la información y documentación que sustente el relevamiento y el Padrón Provisorio. Asimismo, se constituirá una Comisión de Revisión integrada por representantes de la autoridad de aplicación, la MGP, la Junta Vecinal y organismos de protección de derechos, que tendrá a su cargo la recepción, análisis y resolución fundada de las impugnaciones, omisiones y solicitudes de rectificación que se formulen respecto del Padrón Provisorio, con anterioridad a la confección del Padrón Definitivo.</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15°. Soluciones habitacionales. </w:t>
      </w:r>
      <w:r w:rsidRPr="0021273E">
        <w:rPr>
          <w:rFonts w:ascii="Times New Roman" w:eastAsia="Times New Roman" w:hAnsi="Times New Roman" w:cs="Times New Roman"/>
          <w:color w:val="000000"/>
          <w:kern w:val="0"/>
          <w:sz w:val="24"/>
          <w:szCs w:val="24"/>
          <w:lang w:val="es-ES" w:eastAsia="es-ES"/>
        </w:rPr>
        <w:t xml:space="preserve">Se considera solución habitacional única y definitiva a toda vivienda adecuada al hogar destinatario que cuente con núcleo húmedo (cocina y baño) y acceso independiente desde la vía pública de forma directa o a través de un pasaje común. El IVC podrá dar la posesión de las nuevas viviendas a sus adjudicatarios una vez finalizadas las obras, según las pautas establecidas en las especificaciones técnicas del pliego de contratación, y encontrándose las mismas en condiciones de habitabilidad, asoleamiento y ventilación mínimas, con la totalidad de las conexiones </w:t>
      </w:r>
      <w:proofErr w:type="spellStart"/>
      <w:r w:rsidRPr="0021273E">
        <w:rPr>
          <w:rFonts w:ascii="Times New Roman" w:eastAsia="Times New Roman" w:hAnsi="Times New Roman" w:cs="Times New Roman"/>
          <w:color w:val="000000"/>
          <w:kern w:val="0"/>
          <w:sz w:val="24"/>
          <w:szCs w:val="24"/>
          <w:lang w:val="es-ES" w:eastAsia="es-ES"/>
        </w:rPr>
        <w:t>intradomiciliarias</w:t>
      </w:r>
      <w:proofErr w:type="spellEnd"/>
      <w:r w:rsidRPr="0021273E">
        <w:rPr>
          <w:rFonts w:ascii="Times New Roman" w:eastAsia="Times New Roman" w:hAnsi="Times New Roman" w:cs="Times New Roman"/>
          <w:color w:val="000000"/>
          <w:kern w:val="0"/>
          <w:sz w:val="24"/>
          <w:szCs w:val="24"/>
          <w:lang w:val="es-ES" w:eastAsia="es-ES"/>
        </w:rPr>
        <w:t xml:space="preserve"> a los servicios públicos efectuadas y en correcto funcionamiento y la cantidad de habitaciones y metros cuadrados acordes con la composición del hogar destinatario.</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Artículo 15° bis. Habitaciones.</w:t>
      </w:r>
      <w:r w:rsidRPr="0021273E">
        <w:rPr>
          <w:rFonts w:ascii="Times New Roman" w:eastAsia="Times New Roman" w:hAnsi="Times New Roman" w:cs="Times New Roman"/>
          <w:color w:val="000000"/>
          <w:kern w:val="0"/>
          <w:sz w:val="24"/>
          <w:szCs w:val="24"/>
          <w:lang w:val="es-ES" w:eastAsia="es-ES"/>
        </w:rPr>
        <w:t xml:space="preserve"> La asignación del tipo de vivienda en función de la cantidad de dormitorios deberá basarse en criterios transparentes y deberá considerar la proyección del crecimiento familiar y de sus integrantes a cinco años, a fin de evaluar la cantidad de habitaciones de la solución habitacional definitiva a adjudicar y  evitar situaciones de hacinamiento. </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16°. Accesibilidad. </w:t>
      </w:r>
      <w:r w:rsidRPr="0021273E">
        <w:rPr>
          <w:rFonts w:ascii="Times New Roman" w:eastAsia="Times New Roman" w:hAnsi="Times New Roman" w:cs="Times New Roman"/>
          <w:color w:val="000000"/>
          <w:kern w:val="0"/>
          <w:sz w:val="24"/>
          <w:szCs w:val="24"/>
          <w:lang w:val="es-ES" w:eastAsia="es-ES"/>
        </w:rPr>
        <w:t>Deberán contar con accesibilidad universal plena adecuada para personas mayores y personas con discapacidad el 20% de las soluciones habitacionales adjudicadas y la totalidad de vías de circulación y espacios públicos nuevos y existentes incluidos en el PIRU.</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17°. Vivienda nueva. </w:t>
      </w:r>
      <w:r w:rsidRPr="0021273E">
        <w:rPr>
          <w:rFonts w:ascii="Times New Roman" w:eastAsia="Times New Roman" w:hAnsi="Times New Roman" w:cs="Times New Roman"/>
          <w:color w:val="000000"/>
          <w:kern w:val="0"/>
          <w:sz w:val="24"/>
          <w:szCs w:val="24"/>
          <w:lang w:val="es-ES" w:eastAsia="es-ES"/>
        </w:rPr>
        <w:t>Los criterios para las nuevas construcciones deberán contemplar distintas tipologías arquitectónicas, respetando las características volumétricas del barrio de la Paternal y previendo la organización consorcial de los futuros habitantes. La implantación de las mismas deberá encontrar solución dentro del polígono de intervención del PIRU, propendiendo a la plena integración de las viviendas y los equipamientos al entorno urbano preexistente, poniendo en consideración la oportunidad de consolidar un frente en las calles externas que contribuya a disolver las barreras físicas y simbólicas del polígono.</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18°. Mejoramiento de viviendas. </w:t>
      </w:r>
      <w:r w:rsidRPr="0021273E">
        <w:rPr>
          <w:rFonts w:ascii="Times New Roman" w:eastAsia="Times New Roman" w:hAnsi="Times New Roman" w:cs="Times New Roman"/>
          <w:color w:val="000000"/>
          <w:kern w:val="0"/>
          <w:sz w:val="24"/>
          <w:szCs w:val="24"/>
          <w:lang w:val="es-ES" w:eastAsia="es-ES"/>
        </w:rPr>
        <w:t xml:space="preserve">Se mejorarán y adecuarán las viviendas existentes que no precisen relocalización, el mejoramiento podrá realizarse mediante obras directas promovidas por la Autoridad de Aplicación y por programas de bancos de materiales, posibilitando mecanismos de autoconstrucción que caracterizaron la evolución del barrio, incorporando equipos técnicos que asesoren en cada caso sobre alternativas proyectuales para las adecuaciones. Se pondrán en valor la diversidad de soluciones constructivas </w:t>
      </w:r>
      <w:r w:rsidRPr="0021273E">
        <w:rPr>
          <w:rFonts w:ascii="Times New Roman" w:eastAsia="Times New Roman" w:hAnsi="Times New Roman" w:cs="Times New Roman"/>
          <w:color w:val="000000"/>
          <w:kern w:val="0"/>
          <w:sz w:val="24"/>
          <w:szCs w:val="24"/>
          <w:lang w:val="es-ES" w:eastAsia="es-ES"/>
        </w:rPr>
        <w:lastRenderedPageBreak/>
        <w:t>particularizadas, asegurando el mejoramiento de las condiciones de ventilación y refuerzo de las estructuras, terminaciones de muros y pisos, distribución de electricidad, baños y cocinas, la organización de las servidumbres de paso y los proyectos de ampliación por problemas de hacinamiento.</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19°. Relocalizaciones. </w:t>
      </w:r>
      <w:r w:rsidRPr="0021273E">
        <w:rPr>
          <w:rFonts w:ascii="Times New Roman" w:eastAsia="Times New Roman" w:hAnsi="Times New Roman" w:cs="Times New Roman"/>
          <w:color w:val="000000"/>
          <w:kern w:val="0"/>
          <w:sz w:val="24"/>
          <w:szCs w:val="24"/>
          <w:lang w:val="es-ES" w:eastAsia="es-ES"/>
        </w:rPr>
        <w:t>Las relocalizaciones que se realicen con motivo del PIRU no se realizarán mediante desalojos forzosos, cumpliendo a su vez con la planificación integral del proceso de relocalización y las instancias de participación establecidas en la presente ley, serán efectuadas dentro del barrio en unidades funcionales de iguales o superiores características respecto de la vivienda original. Está prohibido acordar relocalizaciones sin definir previamente cada una de las operatorias, sus condiciones y planes de pago correspondientes a las soluciones habitacionales definitivas. Las relocalizaciones incluyen los casos que se ajusten al menos a alguno de los siguientes parámetros:</w:t>
      </w:r>
    </w:p>
    <w:p w:rsidR="0021273E" w:rsidRPr="0021273E" w:rsidRDefault="0021273E" w:rsidP="0021273E">
      <w:pPr>
        <w:numPr>
          <w:ilvl w:val="0"/>
          <w:numId w:val="29"/>
        </w:numPr>
        <w:spacing w:before="1"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Sectores cuya desocupación resulte imprescindible por necesidad proyectual para la consolidación urbanística del barrio, por apertura o ensanchamiento de calles, pasajes o pasillos, esponjamiento, reconfiguración y ordenamiento de parcelas y manzanas, disposición de espacios públicos o equipamiento comunitario.</w:t>
      </w:r>
    </w:p>
    <w:p w:rsidR="0021273E" w:rsidRPr="0021273E" w:rsidRDefault="0021273E" w:rsidP="0021273E">
      <w:pPr>
        <w:numPr>
          <w:ilvl w:val="0"/>
          <w:numId w:val="29"/>
        </w:numPr>
        <w:spacing w:before="1"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Edificaciones cuyas características técnicas resultan irrecuperables, previa verificación de los organismos de gobierno competentes, en coordinación con los equipos técnicos de la autoridad de aplicación.</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20°. Desalojos. </w:t>
      </w:r>
      <w:r w:rsidRPr="0021273E">
        <w:rPr>
          <w:rFonts w:ascii="Times New Roman" w:eastAsia="Times New Roman" w:hAnsi="Times New Roman" w:cs="Times New Roman"/>
          <w:color w:val="000000"/>
          <w:kern w:val="0"/>
          <w:sz w:val="24"/>
          <w:szCs w:val="24"/>
          <w:lang w:val="es-ES" w:eastAsia="es-ES"/>
        </w:rPr>
        <w:t>Las acciones implementadas en el marco de la presente ley no podrán implicar la realización de desalojos forzosos. En todos los casos, inmediatamente se garantizará a la familia ser relocalizada una solución habitacional dentro del Barrio con características similares o superiores a la vivienda que ocupa en la actualidad.</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21°. Condiciones de pago. </w:t>
      </w:r>
      <w:r w:rsidRPr="0021273E">
        <w:rPr>
          <w:rFonts w:ascii="Times New Roman" w:eastAsia="Times New Roman" w:hAnsi="Times New Roman" w:cs="Times New Roman"/>
          <w:color w:val="000000"/>
          <w:kern w:val="0"/>
          <w:sz w:val="24"/>
          <w:szCs w:val="24"/>
          <w:lang w:val="es-ES" w:eastAsia="es-ES"/>
        </w:rPr>
        <w:t>Será responsabilidad de los hogares beneficiarios contribuir, en la medida de sus capacidades y sin perjuicio de su subsistencia, con el pago proporcional a la adjudicación de las parcelas y/o unidades funcionales y su aporte en materia de suelo y vivienda preexistente. En ningún caso la incapacidad de pago vulnerará los derechos reconocidos en la presente Ley a favor de los beneficiarios. La autoridad de aplicación determinará plazos y montos de pago sostenibles que no podrán superar el 20% de los ingresos comprobables de cada hogar beneficiario, considerando como monto del pago mensual del crédito para la solución habitacional definitiva la sumatoria estimativa de la cuota del crédito, los montos de las tarifas de los servicios públicos domiciliarios, los impuestos inmobiliarios y las expensas. El pago del crédito incluirá el plazo de gracia de un (1) año para el pago de las cuotas.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22º. Créditos. </w:t>
      </w:r>
      <w:r w:rsidRPr="0021273E">
        <w:rPr>
          <w:rFonts w:ascii="Times New Roman" w:eastAsia="Times New Roman" w:hAnsi="Times New Roman" w:cs="Times New Roman"/>
          <w:color w:val="000000"/>
          <w:kern w:val="0"/>
          <w:sz w:val="24"/>
          <w:szCs w:val="24"/>
          <w:lang w:val="es-ES" w:eastAsia="es-ES"/>
        </w:rPr>
        <w:t>El IVC garantizará el desarrollo de operatorias de crédito para otorgar las soluciones habitacionales definitivas en el marco del PIRU en caso de ser necesario, teniendo en cuenta las condiciones socioeconómicas de cada una de las familias y asegurando a todas condiciones iguales o más beneficiosas que las establecidas por la Ley 341, manteniendo cuotas fijas y una tasa de financiamiento del cero por ciento (0%) hasta lograr cancelar los créditos y escriturar las viviendas. El precio del mismo deberá ser fijado al momento de la adjudicación. </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23°. Inejecutabilidad de las viviendas. </w:t>
      </w:r>
      <w:r w:rsidRPr="0021273E">
        <w:rPr>
          <w:rFonts w:ascii="Times New Roman" w:eastAsia="Times New Roman" w:hAnsi="Times New Roman" w:cs="Times New Roman"/>
          <w:color w:val="000000"/>
          <w:kern w:val="0"/>
          <w:sz w:val="24"/>
          <w:szCs w:val="24"/>
          <w:lang w:val="es-ES" w:eastAsia="es-ES"/>
        </w:rPr>
        <w:t>El GCBA no podrá transferir a terceros ninguna deuda o hipoteca constituida a favor del GCBA por los habitantes del barrio. El GCBA no podrá ejecutar ninguna vivienda de las familias por ninguna razón, ni siquiera por falta de pago de los créditos otorgados.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24°. </w:t>
      </w:r>
      <w:proofErr w:type="spellStart"/>
      <w:r w:rsidRPr="0021273E">
        <w:rPr>
          <w:rFonts w:ascii="Times New Roman" w:eastAsia="Times New Roman" w:hAnsi="Times New Roman" w:cs="Times New Roman"/>
          <w:b/>
          <w:bCs/>
          <w:color w:val="000000"/>
          <w:kern w:val="0"/>
          <w:sz w:val="24"/>
          <w:szCs w:val="24"/>
          <w:lang w:val="es-ES" w:eastAsia="es-ES"/>
        </w:rPr>
        <w:t>Inembargabilidad</w:t>
      </w:r>
      <w:proofErr w:type="spellEnd"/>
      <w:r w:rsidRPr="0021273E">
        <w:rPr>
          <w:rFonts w:ascii="Times New Roman" w:eastAsia="Times New Roman" w:hAnsi="Times New Roman" w:cs="Times New Roman"/>
          <w:b/>
          <w:bCs/>
          <w:color w:val="000000"/>
          <w:kern w:val="0"/>
          <w:sz w:val="24"/>
          <w:szCs w:val="24"/>
          <w:lang w:val="es-ES" w:eastAsia="es-ES"/>
        </w:rPr>
        <w:t xml:space="preserve"> de las viviendas. </w:t>
      </w:r>
      <w:r w:rsidRPr="0021273E">
        <w:rPr>
          <w:rFonts w:ascii="Times New Roman" w:eastAsia="Times New Roman" w:hAnsi="Times New Roman" w:cs="Times New Roman"/>
          <w:color w:val="000000"/>
          <w:kern w:val="0"/>
          <w:sz w:val="24"/>
          <w:szCs w:val="24"/>
          <w:lang w:val="es-ES" w:eastAsia="es-ES"/>
        </w:rPr>
        <w:t>Las viviendas adquiridas en el marco de un proceso de reurbanización son inembargables. Junto con la escrituración, deberán inscribirse como Bien de Familia.</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25°. Escritura. </w:t>
      </w:r>
      <w:r w:rsidRPr="0021273E">
        <w:rPr>
          <w:rFonts w:ascii="Times New Roman" w:eastAsia="Times New Roman" w:hAnsi="Times New Roman" w:cs="Times New Roman"/>
          <w:color w:val="000000"/>
          <w:kern w:val="0"/>
          <w:sz w:val="24"/>
          <w:szCs w:val="24"/>
          <w:lang w:val="es-ES" w:eastAsia="es-ES"/>
        </w:rPr>
        <w:t xml:space="preserve">La escritura, tanto de las viviendas nuevas como de las viviendas existentes mejoradas, no podrá suscribirse hasta tanto la unidad cuente con las conexiones internas domiciliarias a los servicios públicos de agua, electricidad y desagües cloacales, efectuadas, regularizadas y en correcto funcionamiento. La escrituración y finalización del </w:t>
      </w:r>
      <w:r w:rsidRPr="0021273E">
        <w:rPr>
          <w:rFonts w:ascii="Times New Roman" w:eastAsia="Times New Roman" w:hAnsi="Times New Roman" w:cs="Times New Roman"/>
          <w:color w:val="000000"/>
          <w:kern w:val="0"/>
          <w:sz w:val="24"/>
          <w:szCs w:val="24"/>
          <w:lang w:val="es-ES" w:eastAsia="es-ES"/>
        </w:rPr>
        <w:lastRenderedPageBreak/>
        <w:t xml:space="preserve">proceso de regularización </w:t>
      </w:r>
      <w:proofErr w:type="spellStart"/>
      <w:r w:rsidRPr="0021273E">
        <w:rPr>
          <w:rFonts w:ascii="Times New Roman" w:eastAsia="Times New Roman" w:hAnsi="Times New Roman" w:cs="Times New Roman"/>
          <w:color w:val="000000"/>
          <w:kern w:val="0"/>
          <w:sz w:val="24"/>
          <w:szCs w:val="24"/>
          <w:lang w:val="es-ES" w:eastAsia="es-ES"/>
        </w:rPr>
        <w:t>dominial</w:t>
      </w:r>
      <w:proofErr w:type="spellEnd"/>
      <w:r w:rsidRPr="0021273E">
        <w:rPr>
          <w:rFonts w:ascii="Times New Roman" w:eastAsia="Times New Roman" w:hAnsi="Times New Roman" w:cs="Times New Roman"/>
          <w:color w:val="000000"/>
          <w:kern w:val="0"/>
          <w:sz w:val="24"/>
          <w:szCs w:val="24"/>
          <w:lang w:val="es-ES" w:eastAsia="es-ES"/>
        </w:rPr>
        <w:t xml:space="preserve"> no desvinculará a la autoridad de aplicación de la responsabilidad sobre las mismas.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26°. Regularización </w:t>
      </w:r>
      <w:proofErr w:type="spellStart"/>
      <w:r w:rsidRPr="0021273E">
        <w:rPr>
          <w:rFonts w:ascii="Times New Roman" w:eastAsia="Times New Roman" w:hAnsi="Times New Roman" w:cs="Times New Roman"/>
          <w:b/>
          <w:bCs/>
          <w:color w:val="000000"/>
          <w:kern w:val="0"/>
          <w:sz w:val="24"/>
          <w:szCs w:val="24"/>
          <w:lang w:val="es-ES" w:eastAsia="es-ES"/>
        </w:rPr>
        <w:t>dominial</w:t>
      </w:r>
      <w:proofErr w:type="spellEnd"/>
      <w:r w:rsidRPr="0021273E">
        <w:rPr>
          <w:rFonts w:ascii="Times New Roman" w:eastAsia="Times New Roman" w:hAnsi="Times New Roman" w:cs="Times New Roman"/>
          <w:b/>
          <w:bCs/>
          <w:color w:val="000000"/>
          <w:kern w:val="0"/>
          <w:sz w:val="24"/>
          <w:szCs w:val="24"/>
          <w:lang w:val="es-ES" w:eastAsia="es-ES"/>
        </w:rPr>
        <w:t xml:space="preserve">. </w:t>
      </w:r>
      <w:r w:rsidRPr="0021273E">
        <w:rPr>
          <w:rFonts w:ascii="Times New Roman" w:eastAsia="Times New Roman" w:hAnsi="Times New Roman" w:cs="Times New Roman"/>
          <w:color w:val="000000"/>
          <w:kern w:val="0"/>
          <w:sz w:val="24"/>
          <w:szCs w:val="24"/>
          <w:lang w:val="es-ES" w:eastAsia="es-ES"/>
        </w:rPr>
        <w:t xml:space="preserve">El Gobierno de la Ciudad realizará las gestiones necesarias con el Gobierno Nacional a fin de desarrollar todas las etapas del PIRU y alcanzar la regularización </w:t>
      </w:r>
      <w:proofErr w:type="spellStart"/>
      <w:r w:rsidRPr="0021273E">
        <w:rPr>
          <w:rFonts w:ascii="Times New Roman" w:eastAsia="Times New Roman" w:hAnsi="Times New Roman" w:cs="Times New Roman"/>
          <w:color w:val="000000"/>
          <w:kern w:val="0"/>
          <w:sz w:val="24"/>
          <w:szCs w:val="24"/>
          <w:lang w:val="es-ES" w:eastAsia="es-ES"/>
        </w:rPr>
        <w:t>dominial</w:t>
      </w:r>
      <w:proofErr w:type="spellEnd"/>
      <w:r w:rsidRPr="0021273E">
        <w:rPr>
          <w:rFonts w:ascii="Times New Roman" w:eastAsia="Times New Roman" w:hAnsi="Times New Roman" w:cs="Times New Roman"/>
          <w:color w:val="000000"/>
          <w:kern w:val="0"/>
          <w:sz w:val="24"/>
          <w:szCs w:val="24"/>
          <w:lang w:val="es-ES" w:eastAsia="es-ES"/>
        </w:rPr>
        <w:t xml:space="preserve"> a favor de las familias, considerando la RESOLUCIÓN AABE N° 196/2015 de la Agencia de Administración de Bienes del Estado, adjunta a la presente como Anexo III, donde se afecta en predio a la ejecución de políticas de acceso al hábitat y regularización de barrios informales.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27°. Conexiones a servicios. </w:t>
      </w:r>
      <w:r w:rsidRPr="0021273E">
        <w:rPr>
          <w:rFonts w:ascii="Times New Roman" w:eastAsia="Times New Roman" w:hAnsi="Times New Roman" w:cs="Times New Roman"/>
          <w:color w:val="000000"/>
          <w:kern w:val="0"/>
          <w:sz w:val="24"/>
          <w:szCs w:val="24"/>
          <w:lang w:val="es-ES" w:eastAsia="es-ES"/>
        </w:rPr>
        <w:t xml:space="preserve">La escrituración y la finalización del proceso de regularización </w:t>
      </w:r>
      <w:proofErr w:type="spellStart"/>
      <w:r w:rsidRPr="0021273E">
        <w:rPr>
          <w:rFonts w:ascii="Times New Roman" w:eastAsia="Times New Roman" w:hAnsi="Times New Roman" w:cs="Times New Roman"/>
          <w:color w:val="000000"/>
          <w:kern w:val="0"/>
          <w:sz w:val="24"/>
          <w:szCs w:val="24"/>
          <w:lang w:val="es-ES" w:eastAsia="es-ES"/>
        </w:rPr>
        <w:t>dominial</w:t>
      </w:r>
      <w:proofErr w:type="spellEnd"/>
      <w:r w:rsidRPr="0021273E">
        <w:rPr>
          <w:rFonts w:ascii="Times New Roman" w:eastAsia="Times New Roman" w:hAnsi="Times New Roman" w:cs="Times New Roman"/>
          <w:color w:val="000000"/>
          <w:kern w:val="0"/>
          <w:sz w:val="24"/>
          <w:szCs w:val="24"/>
          <w:lang w:val="es-ES" w:eastAsia="es-ES"/>
        </w:rPr>
        <w:t xml:space="preserve"> no desvinculará a la autoridad de aplicación de la responsabilidad de garantizar las conexiones </w:t>
      </w:r>
      <w:proofErr w:type="spellStart"/>
      <w:r w:rsidRPr="0021273E">
        <w:rPr>
          <w:rFonts w:ascii="Times New Roman" w:eastAsia="Times New Roman" w:hAnsi="Times New Roman" w:cs="Times New Roman"/>
          <w:color w:val="000000"/>
          <w:kern w:val="0"/>
          <w:sz w:val="24"/>
          <w:szCs w:val="24"/>
          <w:lang w:val="es-ES" w:eastAsia="es-ES"/>
        </w:rPr>
        <w:t>intradomiciliarias</w:t>
      </w:r>
      <w:proofErr w:type="spellEnd"/>
      <w:r w:rsidRPr="0021273E">
        <w:rPr>
          <w:rFonts w:ascii="Times New Roman" w:eastAsia="Times New Roman" w:hAnsi="Times New Roman" w:cs="Times New Roman"/>
          <w:color w:val="000000"/>
          <w:kern w:val="0"/>
          <w:sz w:val="24"/>
          <w:szCs w:val="24"/>
          <w:lang w:val="es-ES" w:eastAsia="es-ES"/>
        </w:rPr>
        <w:t xml:space="preserve"> a todos los servicios públicos incluyendo agua, gas, electricidad, y desagüe cloacal, efectuadas y en correcto funcionamiento. Se deberá convenir con las empresas prestadoras de servicio la transferencia inmediata de las obras de infraestructura ejecutadas por el Gobierno de la Ciudad Autónoma de Buenos Aires en el barrio una vez finalizadas.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Artículo 28°. Tarifa Social y asequibilidad.</w:t>
      </w:r>
      <w:r w:rsidRPr="0021273E">
        <w:rPr>
          <w:rFonts w:ascii="Times New Roman" w:eastAsia="Times New Roman" w:hAnsi="Times New Roman" w:cs="Times New Roman"/>
          <w:color w:val="000000"/>
          <w:kern w:val="0"/>
          <w:sz w:val="24"/>
          <w:szCs w:val="24"/>
          <w:lang w:val="es-ES" w:eastAsia="es-ES"/>
        </w:rPr>
        <w:t xml:space="preserve"> La autoridad de aplicación deberá garantizar, mediante las gestiones correspondientes ante las empresas prestadoras, entes reguladores y organismos competentes, el acceso de los hogares alcanzados por la presente ley a reducciones tarifarias, tarifa social y/o mecanismos de asistencia que garanticen la asequibilidad de los servicios públicos, evitando que su costo constituya una carga que comprometa la permanencia de los hogares en el barrio. </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29º. Gastos consorciales. </w:t>
      </w:r>
      <w:r w:rsidRPr="0021273E">
        <w:rPr>
          <w:rFonts w:ascii="Times New Roman" w:eastAsia="Times New Roman" w:hAnsi="Times New Roman" w:cs="Times New Roman"/>
          <w:color w:val="000000"/>
          <w:kern w:val="0"/>
          <w:sz w:val="24"/>
          <w:szCs w:val="24"/>
          <w:lang w:val="es-ES" w:eastAsia="es-ES"/>
        </w:rPr>
        <w:t>La autoridad de aplicación se hará cargo financieramente de los gastos consorciales durante los primeros 20 años de las nuevas unidades construidas en el marco del proceso de reurbanización. Cumplido ese plazo, el IVC se hará cargo del 50% de los gastos consorciales y se llevarán adelante capacitaciones para los vecinos y vecinas sobre administración consorcial y, con la participación del IVC, se pondrán en marcha los consorcios de las viviendas construidas en el marco del proceso de reurbanización. Finalizado el último plazo señalado, los consorcios comenzarán a hacerse cargo de los gastos consorciales.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30°. Contrataciones de obra. </w:t>
      </w:r>
      <w:r w:rsidRPr="0021273E">
        <w:rPr>
          <w:rFonts w:ascii="Times New Roman" w:eastAsia="Times New Roman" w:hAnsi="Times New Roman" w:cs="Times New Roman"/>
          <w:color w:val="000000"/>
          <w:kern w:val="0"/>
          <w:sz w:val="24"/>
          <w:szCs w:val="24"/>
          <w:lang w:val="es-ES" w:eastAsia="es-ES"/>
        </w:rPr>
        <w:t>Las empresas y cooperativas adjudicatarias de las obras a realizarse en el barrio para el cumplimiento de la presente ley deberán contratar un mínimo de treinta por ciento (30%) de personas que habiten en el Barrio para la ejecución de las obras, o hasta completar los inscriptos en la bolsa de trabajo por rubro o especialidad buscada. A dichos trabajadores deberá garantizarse los derechos del convenio colectivo de trabajo correspondiente a la actividad o trabajo que realice. En forma previa a la aprobación de los pliegos y al llamado a licitación deberá realizarse la convocatoria para la inscripción en la bolsa de trabajo, de forma individual o por medio de la conformación de cooperativas de trabajo. Deberán realizarse capacitaciones y brindar formación a los habitantes del barrio a fin de incentivar capacidades y especializaciones, abriendo aún más la inclusión a los trabajos que se ejecuten en el marco del PIRU.</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31°. Inmuebles preexistentes. </w:t>
      </w:r>
      <w:r w:rsidRPr="0021273E">
        <w:rPr>
          <w:rFonts w:ascii="Times New Roman" w:eastAsia="Times New Roman" w:hAnsi="Times New Roman" w:cs="Times New Roman"/>
          <w:color w:val="000000"/>
          <w:kern w:val="0"/>
          <w:sz w:val="24"/>
          <w:szCs w:val="24"/>
          <w:lang w:val="es-ES" w:eastAsia="es-ES"/>
        </w:rPr>
        <w:t>Los inmuebles existentes al momento de la aprobación de esta ley que tengan un valor simbólico, histórico y/o religioso de interés general para el barrio, serán respetados y eventualmente recalificados, reconfigurados y/o consolidados de acuerdo con lo que determine la MGP que, en estos casos, deberá integrarse con el responsable a cargo de la administración de dicho inmueble.</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32°. Locales comerciales y productivos. </w:t>
      </w:r>
      <w:r w:rsidRPr="0021273E">
        <w:rPr>
          <w:rFonts w:ascii="Times New Roman" w:eastAsia="Times New Roman" w:hAnsi="Times New Roman" w:cs="Times New Roman"/>
          <w:color w:val="000000"/>
          <w:kern w:val="0"/>
          <w:sz w:val="24"/>
          <w:szCs w:val="24"/>
          <w:lang w:val="es-ES" w:eastAsia="es-ES"/>
        </w:rPr>
        <w:t>Los locales comerciales y productivos existentes incluidos en el relevamiento físico y social serán parte de las obras de mejoramiento y adecuación así como de los mecanismos de financiamiento y escrituración consensuados en la MGP. Los locales nuevos por construir que se desarrollarán en el marco del PIRU estarán destinados:</w:t>
      </w:r>
    </w:p>
    <w:p w:rsidR="0021273E" w:rsidRPr="0021273E" w:rsidRDefault="0021273E" w:rsidP="0021273E">
      <w:pPr>
        <w:numPr>
          <w:ilvl w:val="0"/>
          <w:numId w:val="30"/>
        </w:numPr>
        <w:spacing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El 50% a relocalizar establecimientos productivos y laborales en general que se encuentran dentro del polígono y tendrán como objetivo dinamizar la economía barrial.</w:t>
      </w:r>
    </w:p>
    <w:p w:rsidR="0021273E" w:rsidRPr="0021273E" w:rsidRDefault="0021273E" w:rsidP="0021273E">
      <w:pPr>
        <w:numPr>
          <w:ilvl w:val="0"/>
          <w:numId w:val="30"/>
        </w:numPr>
        <w:spacing w:before="2"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lastRenderedPageBreak/>
        <w:t>El 20% a la creación de centros culturales, centros de jubilados y/o salones de usos múltiples para que los vecinos puedan utilizar esos locales como lugares de reunión y para actividades comunitarias.</w:t>
      </w:r>
    </w:p>
    <w:p w:rsidR="0021273E" w:rsidRPr="0021273E" w:rsidRDefault="0021273E" w:rsidP="0021273E">
      <w:pPr>
        <w:numPr>
          <w:ilvl w:val="0"/>
          <w:numId w:val="30"/>
        </w:numPr>
        <w:spacing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El 10% a la creación de espacios de contención para mujeres y la lucha contra la violencia de género, cogestionados entre la Dirección General de la Mujer del Gobierno de la Ciudad o el organismo que en futuro lo reemplace y la MGP.</w:t>
      </w:r>
    </w:p>
    <w:p w:rsidR="0021273E" w:rsidRPr="0021273E" w:rsidRDefault="0021273E" w:rsidP="0021273E">
      <w:pPr>
        <w:numPr>
          <w:ilvl w:val="0"/>
          <w:numId w:val="30"/>
        </w:numPr>
        <w:spacing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El 10% a albergar dispositivos de prevención y atención a personas con consumos problemáticos.</w:t>
      </w:r>
    </w:p>
    <w:p w:rsidR="0021273E" w:rsidRPr="0021273E" w:rsidRDefault="0021273E" w:rsidP="0021273E">
      <w:pPr>
        <w:numPr>
          <w:ilvl w:val="0"/>
          <w:numId w:val="30"/>
        </w:numPr>
        <w:spacing w:before="1"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El destino del restante 10% del uso de los locales de tipo comercial quedará a criterio de la MGP.</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33°. Prohibición de clausuras de locales comerciales y productivos. </w:t>
      </w:r>
      <w:r w:rsidRPr="0021273E">
        <w:rPr>
          <w:rFonts w:ascii="Times New Roman" w:eastAsia="Times New Roman" w:hAnsi="Times New Roman" w:cs="Times New Roman"/>
          <w:color w:val="000000"/>
          <w:kern w:val="0"/>
          <w:sz w:val="24"/>
          <w:szCs w:val="24"/>
          <w:lang w:val="es-ES" w:eastAsia="es-ES"/>
        </w:rPr>
        <w:t xml:space="preserve">Quedan prohibidas las clausuras de locales comerciales y productivos incluidos dentro del ámbito definido en el polígono con motivo de incumplimientos en las habilitaciones de los mismos, así como todas las acciones y medidas que conduzcan a su materialización, hasta tanto la Autoridad de Aplicación </w:t>
      </w:r>
      <w:proofErr w:type="spellStart"/>
      <w:r w:rsidRPr="0021273E">
        <w:rPr>
          <w:rFonts w:ascii="Times New Roman" w:eastAsia="Times New Roman" w:hAnsi="Times New Roman" w:cs="Times New Roman"/>
          <w:color w:val="000000"/>
          <w:kern w:val="0"/>
          <w:sz w:val="24"/>
          <w:szCs w:val="24"/>
          <w:lang w:val="es-ES" w:eastAsia="es-ES"/>
        </w:rPr>
        <w:t>operativice</w:t>
      </w:r>
      <w:proofErr w:type="spellEnd"/>
      <w:r w:rsidRPr="0021273E">
        <w:rPr>
          <w:rFonts w:ascii="Times New Roman" w:eastAsia="Times New Roman" w:hAnsi="Times New Roman" w:cs="Times New Roman"/>
          <w:color w:val="000000"/>
          <w:kern w:val="0"/>
          <w:sz w:val="24"/>
          <w:szCs w:val="24"/>
          <w:lang w:val="es-ES" w:eastAsia="es-ES"/>
        </w:rPr>
        <w:t xml:space="preserve"> el régimen de promoción, regularización y habilitación de comercios barriales, conforme a las funciones atribuidas a ésta. </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34° -  Infraestructura. </w:t>
      </w:r>
      <w:r w:rsidRPr="0021273E">
        <w:rPr>
          <w:rFonts w:ascii="Times New Roman" w:eastAsia="Times New Roman" w:hAnsi="Times New Roman" w:cs="Times New Roman"/>
          <w:color w:val="000000"/>
          <w:kern w:val="0"/>
          <w:sz w:val="24"/>
          <w:szCs w:val="24"/>
          <w:lang w:val="es-ES" w:eastAsia="es-ES"/>
        </w:rPr>
        <w:t>El Gobierno de la Ciudad Autónoma de Buenos Aires, a través de los organismos técnicos competentes, gestionará y/o realizará la adecuación de infraestructura a los fines de lograr el correcto funcionamiento de los servicios públicos de red de agua potable, energía eléctrica, desagües cloacales, desagües pluviales y gas natural, de conformidad con lo que se establezca en el PIRU, incluyendo un sistema de tomas de agua y bocas de incendio. La infraestructura de servicios públicos será diseñada y ejecutada teniendo en cuenta los relevamientos y estudios demográficos que permitan determinar la población futura correspondiente a un horizonte de diseño de 50 años.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35° - Equipamiento urbano. </w:t>
      </w:r>
      <w:r w:rsidRPr="0021273E">
        <w:rPr>
          <w:rFonts w:ascii="Times New Roman" w:eastAsia="Times New Roman" w:hAnsi="Times New Roman" w:cs="Times New Roman"/>
          <w:color w:val="000000"/>
          <w:kern w:val="0"/>
          <w:sz w:val="24"/>
          <w:szCs w:val="24"/>
          <w:lang w:val="es-ES" w:eastAsia="es-ES"/>
        </w:rPr>
        <w:t>Se incluirá en el PIRU, en concordancia con la proyección poblacional y las prioridades definidas en el ámbito de la MGP, la construcción de los siguientes establecimientos en el polígono y/o en un radio no mayor a los 500 metros del mismo.</w:t>
      </w:r>
    </w:p>
    <w:p w:rsidR="0021273E" w:rsidRPr="0021273E" w:rsidRDefault="0021273E" w:rsidP="0021273E">
      <w:pPr>
        <w:numPr>
          <w:ilvl w:val="0"/>
          <w:numId w:val="31"/>
        </w:numPr>
        <w:spacing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Educación: un (1) jardín maternal y espacios para actividades comunitarias. Inclusión de un centro verde o similares, como espacio de trabajo de los recicladores urbanos, actores históricos del barrio (galpón apropiado para tareas de separación de residuos, guardado de herramientas, carros y elementos complementarios)</w:t>
      </w:r>
    </w:p>
    <w:p w:rsidR="0021273E" w:rsidRPr="0021273E" w:rsidRDefault="0021273E" w:rsidP="0021273E">
      <w:pPr>
        <w:numPr>
          <w:ilvl w:val="0"/>
          <w:numId w:val="31"/>
        </w:numPr>
        <w:spacing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Salud: una (1) sala de atención primaria de la salud.</w:t>
      </w:r>
    </w:p>
    <w:p w:rsidR="0021273E" w:rsidRPr="0021273E" w:rsidRDefault="0021273E" w:rsidP="0021273E">
      <w:pPr>
        <w:numPr>
          <w:ilvl w:val="0"/>
          <w:numId w:val="31"/>
        </w:numPr>
        <w:spacing w:before="131"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Transporte: mejoramientos de la accesibilidad y estacionamiento de autos particulares, ambulancias y vehículos de rescate y acción contra incendios.</w:t>
      </w:r>
    </w:p>
    <w:p w:rsidR="0021273E" w:rsidRPr="0021273E" w:rsidRDefault="0021273E" w:rsidP="0021273E">
      <w:pPr>
        <w:numPr>
          <w:ilvl w:val="0"/>
          <w:numId w:val="31"/>
        </w:numPr>
        <w:spacing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Espacio público: plantación de arbolado y mejora, consolidación y recuperación del paseo lineal verde divisorio del área operativa del ferrocarril y demás plazas existentes indicadas en el Anexo II de la presente "Reglamento Interno de Ancho de calles y Veredas". Inclusión en el Sistema de Mantenimiento de Espacios Verdes de la Ciudad con participación de los vecinos y cooperativas del barrio.</w:t>
      </w:r>
    </w:p>
    <w:p w:rsidR="0021273E" w:rsidRPr="0021273E" w:rsidRDefault="0021273E" w:rsidP="0021273E">
      <w:pPr>
        <w:numPr>
          <w:ilvl w:val="0"/>
          <w:numId w:val="31"/>
        </w:numPr>
        <w:spacing w:before="3"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Seguridad: regularización del destacamento policial y el sistema de iluminación.</w:t>
      </w:r>
    </w:p>
    <w:p w:rsidR="0021273E" w:rsidRPr="0021273E" w:rsidRDefault="0021273E" w:rsidP="0021273E">
      <w:pPr>
        <w:numPr>
          <w:ilvl w:val="0"/>
          <w:numId w:val="31"/>
        </w:numPr>
        <w:spacing w:before="137"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Espacio comunitario: un (1) salón de usos múltiples que cumpla con las condiciones para el funcionamiento de la MGP y la Junta Vecinal.</w:t>
      </w:r>
    </w:p>
    <w:p w:rsidR="0021273E" w:rsidRPr="0021273E" w:rsidRDefault="0021273E" w:rsidP="0021273E">
      <w:pPr>
        <w:numPr>
          <w:ilvl w:val="0"/>
          <w:numId w:val="31"/>
        </w:numPr>
        <w:spacing w:after="0" w:line="240" w:lineRule="auto"/>
        <w:ind w:right="-96"/>
        <w:jc w:val="both"/>
        <w:textAlignment w:val="baseline"/>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Cualquier otro establecimiento consensuado en el ámbito de la MGP.</w:t>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36°. Seguridad. </w:t>
      </w:r>
      <w:r w:rsidRPr="0021273E">
        <w:rPr>
          <w:rFonts w:ascii="Times New Roman" w:eastAsia="Times New Roman" w:hAnsi="Times New Roman" w:cs="Times New Roman"/>
          <w:color w:val="000000"/>
          <w:kern w:val="0"/>
          <w:sz w:val="24"/>
          <w:szCs w:val="24"/>
          <w:lang w:val="es-ES" w:eastAsia="es-ES"/>
        </w:rPr>
        <w:t>El PIRU incluirá mecanismos de participación con habitantes de cada sector del polígono para elaborar acciones, procesos y políticas destinadas a garantizar la seguridad y la gestión de la emergencia de vida frente a cuestiones de salud, accidentes o incendios.</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37°. Impacto Ambiental. </w:t>
      </w:r>
      <w:r w:rsidRPr="0021273E">
        <w:rPr>
          <w:rFonts w:ascii="Times New Roman" w:eastAsia="Times New Roman" w:hAnsi="Times New Roman" w:cs="Times New Roman"/>
          <w:color w:val="000000"/>
          <w:kern w:val="0"/>
          <w:sz w:val="24"/>
          <w:szCs w:val="24"/>
          <w:lang w:val="es-ES" w:eastAsia="es-ES"/>
        </w:rPr>
        <w:t>Las obras que se lleven a cabo para el desarrollo del "PIRU"</w:t>
      </w:r>
      <w:r w:rsidRPr="0021273E">
        <w:rPr>
          <w:rFonts w:ascii="Times New Roman" w:eastAsia="Times New Roman" w:hAnsi="Times New Roman" w:cs="Times New Roman"/>
          <w:color w:val="000000"/>
          <w:kern w:val="0"/>
          <w:sz w:val="20"/>
          <w:szCs w:val="20"/>
          <w:lang w:val="es-ES" w:eastAsia="es-ES"/>
        </w:rPr>
        <w:t xml:space="preserve"> </w:t>
      </w:r>
      <w:r w:rsidRPr="0021273E">
        <w:rPr>
          <w:rFonts w:ascii="Times New Roman" w:eastAsia="Times New Roman" w:hAnsi="Times New Roman" w:cs="Times New Roman"/>
          <w:color w:val="000000"/>
          <w:kern w:val="0"/>
          <w:sz w:val="24"/>
          <w:szCs w:val="24"/>
          <w:lang w:val="es-ES" w:eastAsia="es-ES"/>
        </w:rPr>
        <w:t>deberán contar con la Evaluación de Impacto Ambiental aprobada y el Certificado de Aptitud Ambiental conforme a lo establecido en la ley 123.</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lastRenderedPageBreak/>
        <w:t xml:space="preserve">Artículo 38°. Presupuesto. </w:t>
      </w:r>
      <w:r w:rsidRPr="0021273E">
        <w:rPr>
          <w:rFonts w:ascii="Times New Roman" w:eastAsia="Times New Roman" w:hAnsi="Times New Roman" w:cs="Times New Roman"/>
          <w:color w:val="000000"/>
          <w:kern w:val="0"/>
          <w:sz w:val="24"/>
          <w:szCs w:val="24"/>
          <w:lang w:val="es-ES" w:eastAsia="es-ES"/>
        </w:rPr>
        <w:t>El Gobierno de la Ciudad Autónoma de Buenos Aires dispondrá anualmente de presupuesto para el desarrollo del PIRU según lo requieran sus etapas de ejecución.</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1"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39°. Articulación. </w:t>
      </w:r>
      <w:r w:rsidRPr="0021273E">
        <w:rPr>
          <w:rFonts w:ascii="Times New Roman" w:eastAsia="Times New Roman" w:hAnsi="Times New Roman" w:cs="Times New Roman"/>
          <w:color w:val="000000"/>
          <w:kern w:val="0"/>
          <w:sz w:val="24"/>
          <w:szCs w:val="24"/>
          <w:lang w:val="es-ES" w:eastAsia="es-ES"/>
        </w:rPr>
        <w:t>El IVC llevará a adelante todas las gestiones necesarias para articular el PIRU con las intervenciones en el espacio público y de operación del Ferrocarril, considerando al viaducto San Martín, los usos de los espacios bajo viaducto y sus bordes, que resulta el borde y entorno al barrio, asegurando la coherencia y complementariedad entre el proceso de reurbanización y su contexto urbano, garantizando la integración física y social.</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CAPÍTULO V</w:t>
      </w: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NORMATIVA URBANA</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40°. Registración de planos y adecuación normativa. </w:t>
      </w:r>
      <w:r w:rsidRPr="0021273E">
        <w:rPr>
          <w:rFonts w:ascii="Times New Roman" w:eastAsia="Times New Roman" w:hAnsi="Times New Roman" w:cs="Times New Roman"/>
          <w:color w:val="000000"/>
          <w:kern w:val="0"/>
          <w:sz w:val="24"/>
          <w:szCs w:val="24"/>
          <w:lang w:val="es-ES" w:eastAsia="es-ES"/>
        </w:rPr>
        <w:t>La MGP enviará a la Legislatura de la Ciudad el proyecto de adecuación de la normativa urbana, particularizar el perfil morfológico y aspectos de detalle de proyecto no previstos en la presente Ley, a la luz del diagnóstico y evaluación de los hechos existentes y el análisis de casos de resolución compleja, donde sea necesario admitir dimensiones distintas a las consideradas en distritos UBP Urbanización Barrios Populares, a los efectos que puedan implementarse medidas conducentes a facilitar la Registración de Planos de los bienes preexistentes, y en función del PIRU.</w:t>
      </w:r>
    </w:p>
    <w:p w:rsidR="0021273E" w:rsidRPr="0021273E" w:rsidRDefault="0021273E" w:rsidP="0021273E">
      <w:pPr>
        <w:spacing w:after="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b/>
          <w:bCs/>
          <w:color w:val="000000"/>
          <w:kern w:val="0"/>
          <w:sz w:val="24"/>
          <w:szCs w:val="24"/>
          <w:lang w:val="es-ES" w:eastAsia="es-ES"/>
        </w:rPr>
        <w:t xml:space="preserve">Artículo 43°. </w:t>
      </w:r>
      <w:r w:rsidRPr="0021273E">
        <w:rPr>
          <w:rFonts w:ascii="Times New Roman" w:eastAsia="Times New Roman" w:hAnsi="Times New Roman" w:cs="Times New Roman"/>
          <w:color w:val="000000"/>
          <w:kern w:val="0"/>
          <w:sz w:val="24"/>
          <w:szCs w:val="24"/>
          <w:lang w:val="es-ES" w:eastAsia="es-ES"/>
        </w:rPr>
        <w:t>Comuníquese, etc.</w:t>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kern w:val="0"/>
          <w:sz w:val="24"/>
          <w:szCs w:val="24"/>
          <w:lang w:val="es-ES" w:eastAsia="es-ES"/>
        </w:rPr>
        <w:br/>
      </w: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ANEXO I </w:t>
      </w:r>
    </w:p>
    <w:p w:rsidR="0021273E" w:rsidRPr="0021273E" w:rsidRDefault="0021273E" w:rsidP="0021273E">
      <w:pPr>
        <w:spacing w:before="67" w:after="0" w:line="240" w:lineRule="auto"/>
        <w:ind w:left="-142" w:right="-96"/>
        <w:jc w:val="center"/>
        <w:outlineLvl w:val="0"/>
        <w:rPr>
          <w:rFonts w:ascii="Times New Roman" w:eastAsia="Times New Roman" w:hAnsi="Times New Roman" w:cs="Times New Roman"/>
          <w:b/>
          <w:bCs/>
          <w:kern w:val="36"/>
          <w:sz w:val="48"/>
          <w:szCs w:val="48"/>
          <w:lang w:val="es-ES" w:eastAsia="es-ES"/>
        </w:rPr>
      </w:pPr>
      <w:r w:rsidRPr="0021273E">
        <w:rPr>
          <w:rFonts w:ascii="Times New Roman" w:eastAsia="Times New Roman" w:hAnsi="Times New Roman" w:cs="Times New Roman"/>
          <w:b/>
          <w:bCs/>
          <w:color w:val="000000"/>
          <w:kern w:val="36"/>
          <w:sz w:val="24"/>
          <w:szCs w:val="24"/>
          <w:lang w:val="es-ES" w:eastAsia="es-ES"/>
        </w:rPr>
        <w:t>POLÍGONO</w:t>
      </w:r>
      <w:r w:rsidRPr="0021273E">
        <w:rPr>
          <w:rFonts w:ascii="Times New Roman" w:eastAsia="Times New Roman" w:hAnsi="Times New Roman" w:cs="Times New Roman"/>
          <w:kern w:val="0"/>
          <w:sz w:val="24"/>
          <w:szCs w:val="24"/>
          <w:lang w:val="es-ES" w:eastAsia="es-ES"/>
        </w:rPr>
        <w:br/>
      </w:r>
      <w:r w:rsidRPr="0021273E">
        <w:rPr>
          <w:rFonts w:ascii="Times New Roman" w:eastAsia="Times New Roman" w:hAnsi="Times New Roman" w:cs="Times New Roman"/>
          <w:kern w:val="0"/>
          <w:sz w:val="24"/>
          <w:szCs w:val="24"/>
          <w:lang w:val="es-ES" w:eastAsia="es-ES"/>
        </w:rPr>
        <w:br/>
      </w:r>
      <w:r>
        <w:rPr>
          <w:rFonts w:ascii="Times New Roman" w:eastAsia="Times New Roman" w:hAnsi="Times New Roman" w:cs="Times New Roman"/>
          <w:noProof/>
          <w:kern w:val="0"/>
          <w:sz w:val="24"/>
          <w:szCs w:val="24"/>
          <w:lang w:val="es-ES" w:eastAsia="es-ES"/>
        </w:rPr>
        <w:drawing>
          <wp:inline distT="0" distB="0" distL="0" distR="0">
            <wp:extent cx="5612130" cy="2689745"/>
            <wp:effectExtent l="1905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612130" cy="2689745"/>
                    </a:xfrm>
                    <a:prstGeom prst="rect">
                      <a:avLst/>
                    </a:prstGeom>
                    <a:noFill/>
                    <a:ln w="9525">
                      <a:noFill/>
                      <a:miter lim="800000"/>
                      <a:headEnd/>
                      <a:tailEnd/>
                    </a:ln>
                  </pic:spPr>
                </pic:pic>
              </a:graphicData>
            </a:graphic>
          </wp:inline>
        </w:drawing>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left="-142" w:right="-96"/>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Sala de Comisión:                        de 2026</w:t>
      </w:r>
    </w:p>
    <w:p w:rsidR="0021273E" w:rsidRDefault="0021273E" w:rsidP="0021273E">
      <w:pPr>
        <w:spacing w:after="240" w:line="240" w:lineRule="auto"/>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kern w:val="0"/>
          <w:sz w:val="24"/>
          <w:szCs w:val="24"/>
          <w:lang w:val="es-ES" w:eastAsia="es-ES"/>
        </w:rPr>
        <w:br/>
      </w:r>
      <w:r w:rsidRPr="0021273E">
        <w:rPr>
          <w:rFonts w:ascii="Times New Roman" w:eastAsia="Times New Roman" w:hAnsi="Times New Roman" w:cs="Times New Roman"/>
          <w:kern w:val="0"/>
          <w:sz w:val="24"/>
          <w:szCs w:val="24"/>
          <w:lang w:val="es-ES" w:eastAsia="es-ES"/>
        </w:rPr>
        <w:br/>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 xml:space="preserve">FREIRE, Victoria </w:t>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t xml:space="preserve">FIGUEROA, </w:t>
      </w:r>
      <w:proofErr w:type="spellStart"/>
      <w:r w:rsidRPr="0021273E">
        <w:rPr>
          <w:rFonts w:ascii="Times New Roman" w:eastAsia="Times New Roman" w:hAnsi="Times New Roman" w:cs="Times New Roman"/>
          <w:color w:val="000000"/>
          <w:kern w:val="0"/>
          <w:sz w:val="24"/>
          <w:szCs w:val="24"/>
          <w:lang w:val="es-ES" w:eastAsia="es-ES"/>
        </w:rPr>
        <w:t>Rocio</w:t>
      </w:r>
      <w:proofErr w:type="spellEnd"/>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      Presidenta</w:t>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t>Vicepresidenta 1°</w:t>
      </w:r>
    </w:p>
    <w:p w:rsidR="0021273E" w:rsidRDefault="0021273E" w:rsidP="0021273E">
      <w:pPr>
        <w:spacing w:after="240" w:line="240" w:lineRule="auto"/>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kern w:val="0"/>
          <w:sz w:val="24"/>
          <w:szCs w:val="24"/>
          <w:lang w:val="es-ES" w:eastAsia="es-ES"/>
        </w:rPr>
        <w:br/>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p>
    <w:p w:rsidR="0021273E" w:rsidRDefault="0021273E" w:rsidP="0021273E">
      <w:pPr>
        <w:spacing w:after="0" w:line="240" w:lineRule="auto"/>
        <w:ind w:right="-95"/>
        <w:jc w:val="both"/>
        <w:rPr>
          <w:rFonts w:ascii="Times New Roman" w:eastAsia="Times New Roman" w:hAnsi="Times New Roman" w:cs="Times New Roman"/>
          <w:color w:val="000000"/>
          <w:kern w:val="0"/>
          <w:sz w:val="24"/>
          <w:szCs w:val="24"/>
          <w:lang w:val="es-ES" w:eastAsia="es-ES"/>
        </w:rPr>
      </w:pPr>
    </w:p>
    <w:p w:rsidR="0021273E" w:rsidRDefault="0021273E" w:rsidP="0021273E">
      <w:pPr>
        <w:spacing w:after="0" w:line="240" w:lineRule="auto"/>
        <w:ind w:right="-95"/>
        <w:jc w:val="both"/>
        <w:rPr>
          <w:rFonts w:ascii="Times New Roman" w:eastAsia="Times New Roman" w:hAnsi="Times New Roman" w:cs="Times New Roman"/>
          <w:color w:val="000000"/>
          <w:kern w:val="0"/>
          <w:sz w:val="24"/>
          <w:szCs w:val="24"/>
          <w:lang w:val="es-ES" w:eastAsia="es-ES"/>
        </w:rPr>
      </w:pPr>
    </w:p>
    <w:p w:rsidR="0021273E" w:rsidRDefault="0021273E" w:rsidP="0021273E">
      <w:pPr>
        <w:spacing w:after="0" w:line="240" w:lineRule="auto"/>
        <w:ind w:right="-95"/>
        <w:jc w:val="both"/>
        <w:rPr>
          <w:rFonts w:ascii="Times New Roman" w:eastAsia="Times New Roman" w:hAnsi="Times New Roman" w:cs="Times New Roman"/>
          <w:color w:val="000000"/>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ERNST Marcelo Gregorio</w:t>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Times New Roman" w:eastAsia="Times New Roman" w:hAnsi="Times New Roman" w:cs="Times New Roman"/>
          <w:color w:val="000000"/>
          <w:kern w:val="0"/>
          <w:sz w:val="24"/>
          <w:szCs w:val="24"/>
          <w:lang w:val="es-ES" w:eastAsia="es-ES"/>
        </w:rPr>
        <w:t>BIELLI, María.</w:t>
      </w: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      Vicepresidente 2°</w:t>
      </w:r>
    </w:p>
    <w:p w:rsidR="0021273E" w:rsidRDefault="0021273E" w:rsidP="0021273E">
      <w:pPr>
        <w:spacing w:after="240" w:line="240" w:lineRule="auto"/>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kern w:val="0"/>
          <w:sz w:val="24"/>
          <w:szCs w:val="24"/>
          <w:lang w:val="es-ES" w:eastAsia="es-ES"/>
        </w:rPr>
        <w:br/>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FERNANDEZ, Juan Ignacio</w:t>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Times New Roman" w:eastAsia="Times New Roman" w:hAnsi="Times New Roman" w:cs="Times New Roman"/>
          <w:color w:val="000000"/>
          <w:kern w:val="0"/>
          <w:sz w:val="24"/>
          <w:szCs w:val="24"/>
          <w:lang w:val="es-ES" w:eastAsia="es-ES"/>
        </w:rPr>
        <w:t>ROSSEN, Bárbara</w:t>
      </w:r>
    </w:p>
    <w:p w:rsidR="0021273E" w:rsidRDefault="0021273E" w:rsidP="0021273E">
      <w:pPr>
        <w:spacing w:after="240" w:line="240" w:lineRule="auto"/>
        <w:rPr>
          <w:rFonts w:ascii="Times New Roman" w:eastAsia="Times New Roman" w:hAnsi="Times New Roman" w:cs="Times New Roman"/>
          <w:color w:val="000000"/>
          <w:kern w:val="0"/>
          <w:sz w:val="24"/>
          <w:szCs w:val="24"/>
          <w:lang w:val="es-ES" w:eastAsia="es-ES"/>
        </w:rPr>
      </w:pPr>
      <w:r w:rsidRPr="0021273E">
        <w:rPr>
          <w:rFonts w:ascii="Times New Roman" w:eastAsia="Times New Roman" w:hAnsi="Times New Roman" w:cs="Times New Roman"/>
          <w:kern w:val="0"/>
          <w:sz w:val="24"/>
          <w:szCs w:val="24"/>
          <w:lang w:val="es-ES" w:eastAsia="es-ES"/>
        </w:rPr>
        <w:br/>
      </w:r>
    </w:p>
    <w:p w:rsidR="0021273E" w:rsidRDefault="0021273E" w:rsidP="0021273E">
      <w:pPr>
        <w:spacing w:after="0" w:line="240" w:lineRule="auto"/>
        <w:ind w:right="-95"/>
        <w:jc w:val="both"/>
        <w:rPr>
          <w:rFonts w:ascii="Times New Roman" w:eastAsia="Times New Roman" w:hAnsi="Times New Roman" w:cs="Times New Roman"/>
          <w:color w:val="000000"/>
          <w:kern w:val="0"/>
          <w:sz w:val="24"/>
          <w:szCs w:val="24"/>
          <w:lang w:val="es-ES" w:eastAsia="es-ES"/>
        </w:rPr>
      </w:pPr>
    </w:p>
    <w:p w:rsidR="0021273E" w:rsidRDefault="0021273E" w:rsidP="0021273E">
      <w:pPr>
        <w:spacing w:after="0" w:line="240" w:lineRule="auto"/>
        <w:ind w:right="-95"/>
        <w:jc w:val="both"/>
        <w:rPr>
          <w:rFonts w:ascii="Times New Roman" w:eastAsia="Times New Roman" w:hAnsi="Times New Roman" w:cs="Times New Roman"/>
          <w:color w:val="000000"/>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ALIFRACO, Edgardo Néstor</w:t>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Calibri" w:eastAsia="Times New Roman" w:hAnsi="Calibri" w:cs="Calibri"/>
          <w:color w:val="000000"/>
          <w:kern w:val="0"/>
          <w:sz w:val="28"/>
          <w:lang w:val="es-ES" w:eastAsia="es-ES"/>
        </w:rPr>
        <w:tab/>
      </w:r>
      <w:r w:rsidRPr="0021273E">
        <w:rPr>
          <w:rFonts w:ascii="Times New Roman" w:eastAsia="Times New Roman" w:hAnsi="Times New Roman" w:cs="Times New Roman"/>
          <w:color w:val="000000"/>
          <w:kern w:val="0"/>
          <w:sz w:val="24"/>
          <w:szCs w:val="24"/>
          <w:lang w:val="es-ES" w:eastAsia="es-ES"/>
        </w:rPr>
        <w:t>IAÑEZ, Berenice</w:t>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kern w:val="0"/>
          <w:sz w:val="24"/>
          <w:szCs w:val="24"/>
          <w:lang w:val="es-ES" w:eastAsia="es-ES"/>
        </w:rPr>
        <w:br/>
      </w:r>
      <w:r w:rsidRPr="0021273E">
        <w:rPr>
          <w:rFonts w:ascii="Times New Roman" w:eastAsia="Times New Roman" w:hAnsi="Times New Roman" w:cs="Times New Roman"/>
          <w:kern w:val="0"/>
          <w:sz w:val="24"/>
          <w:szCs w:val="24"/>
          <w:lang w:val="es-ES" w:eastAsia="es-ES"/>
        </w:rPr>
        <w:br/>
      </w:r>
      <w:r w:rsidRPr="0021273E">
        <w:rPr>
          <w:rFonts w:ascii="Times New Roman" w:eastAsia="Times New Roman" w:hAnsi="Times New Roman" w:cs="Times New Roman"/>
          <w:kern w:val="0"/>
          <w:sz w:val="24"/>
          <w:szCs w:val="24"/>
          <w:lang w:val="es-ES" w:eastAsia="es-ES"/>
        </w:rPr>
        <w:br/>
      </w: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NAGATA, Sebastián</w:t>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t>PARERA, Ignacio José</w:t>
      </w:r>
    </w:p>
    <w:p w:rsidR="0021273E" w:rsidRDefault="0021273E" w:rsidP="0021273E">
      <w:pPr>
        <w:spacing w:after="240" w:line="240" w:lineRule="auto"/>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kern w:val="0"/>
          <w:sz w:val="24"/>
          <w:szCs w:val="24"/>
          <w:lang w:val="es-ES" w:eastAsia="es-ES"/>
        </w:rPr>
        <w:br/>
      </w:r>
      <w:r w:rsidRPr="0021273E">
        <w:rPr>
          <w:rFonts w:ascii="Times New Roman" w:eastAsia="Times New Roman" w:hAnsi="Times New Roman" w:cs="Times New Roman"/>
          <w:kern w:val="0"/>
          <w:sz w:val="24"/>
          <w:szCs w:val="24"/>
          <w:lang w:val="es-ES" w:eastAsia="es-ES"/>
        </w:rPr>
        <w:br/>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SALVATIERRA, Alejandro</w:t>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r>
      <w:r w:rsidRPr="0021273E">
        <w:rPr>
          <w:rFonts w:ascii="Times New Roman" w:eastAsia="Times New Roman" w:hAnsi="Times New Roman" w:cs="Times New Roman"/>
          <w:color w:val="000000"/>
          <w:kern w:val="0"/>
          <w:sz w:val="24"/>
          <w:szCs w:val="24"/>
          <w:lang w:val="es-ES" w:eastAsia="es-ES"/>
        </w:rPr>
        <w:tab/>
        <w:t>SUAREZ, Guillermo</w:t>
      </w:r>
    </w:p>
    <w:p w:rsidR="0021273E" w:rsidRDefault="0021273E" w:rsidP="0021273E">
      <w:pPr>
        <w:spacing w:after="240" w:line="240" w:lineRule="auto"/>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kern w:val="0"/>
          <w:sz w:val="24"/>
          <w:szCs w:val="24"/>
          <w:lang w:val="es-ES" w:eastAsia="es-ES"/>
        </w:rPr>
        <w:br/>
      </w:r>
      <w:r w:rsidRPr="0021273E">
        <w:rPr>
          <w:rFonts w:ascii="Times New Roman" w:eastAsia="Times New Roman" w:hAnsi="Times New Roman" w:cs="Times New Roman"/>
          <w:kern w:val="0"/>
          <w:sz w:val="24"/>
          <w:szCs w:val="24"/>
          <w:lang w:val="es-ES" w:eastAsia="es-ES"/>
        </w:rPr>
        <w:br/>
      </w:r>
    </w:p>
    <w:p w:rsidR="0021273E" w:rsidRPr="0021273E" w:rsidRDefault="0021273E" w:rsidP="0021273E">
      <w:pPr>
        <w:spacing w:after="240" w:line="240" w:lineRule="auto"/>
        <w:rPr>
          <w:rFonts w:ascii="Times New Roman" w:eastAsia="Times New Roman" w:hAnsi="Times New Roman" w:cs="Times New Roman"/>
          <w:kern w:val="0"/>
          <w:sz w:val="24"/>
          <w:szCs w:val="24"/>
          <w:lang w:val="es-ES" w:eastAsia="es-ES"/>
        </w:rPr>
      </w:pPr>
    </w:p>
    <w:p w:rsidR="0021273E" w:rsidRPr="0021273E" w:rsidRDefault="0021273E" w:rsidP="0021273E">
      <w:pPr>
        <w:spacing w:after="0" w:line="240" w:lineRule="auto"/>
        <w:ind w:right="-95"/>
        <w:jc w:val="both"/>
        <w:rPr>
          <w:rFonts w:ascii="Times New Roman" w:eastAsia="Times New Roman" w:hAnsi="Times New Roman" w:cs="Times New Roman"/>
          <w:kern w:val="0"/>
          <w:sz w:val="24"/>
          <w:szCs w:val="24"/>
          <w:lang w:val="es-ES" w:eastAsia="es-ES"/>
        </w:rPr>
      </w:pPr>
      <w:r w:rsidRPr="0021273E">
        <w:rPr>
          <w:rFonts w:ascii="Times New Roman" w:eastAsia="Times New Roman" w:hAnsi="Times New Roman" w:cs="Times New Roman"/>
          <w:color w:val="000000"/>
          <w:kern w:val="0"/>
          <w:sz w:val="24"/>
          <w:szCs w:val="24"/>
          <w:lang w:val="es-ES" w:eastAsia="es-ES"/>
        </w:rPr>
        <w:t>WOLFF, Waldo</w:t>
      </w:r>
    </w:p>
    <w:p w:rsidR="00AF6364" w:rsidRPr="000425FE" w:rsidRDefault="00AF6364">
      <w:pPr>
        <w:rPr>
          <w:rFonts w:ascii="Times New Roman" w:hAnsi="Times New Roman" w:cs="Times New Roman"/>
          <w:lang w:val="es-MX"/>
        </w:rPr>
      </w:pPr>
    </w:p>
    <w:sectPr w:rsidR="00AF6364" w:rsidRPr="000425FE" w:rsidSect="000425FE">
      <w:headerReference w:type="default" r:id="rId9"/>
      <w:footerReference w:type="default" r:id="rId10"/>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0FA1" w:rsidRDefault="00F40FA1" w:rsidP="00AF6364">
      <w:pPr>
        <w:spacing w:after="0" w:line="240" w:lineRule="auto"/>
      </w:pPr>
      <w:r>
        <w:separator/>
      </w:r>
    </w:p>
  </w:endnote>
  <w:endnote w:type="continuationSeparator" w:id="0">
    <w:p w:rsidR="00F40FA1" w:rsidRDefault="00F40FA1"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897512" w:rsidRPr="00487F56">
      <w:rPr>
        <w:sz w:val="20"/>
        <w:szCs w:val="20"/>
      </w:rPr>
      <w:fldChar w:fldCharType="begin"/>
    </w:r>
    <w:r w:rsidR="00487F56" w:rsidRPr="00487F56">
      <w:rPr>
        <w:sz w:val="20"/>
        <w:szCs w:val="20"/>
      </w:rPr>
      <w:instrText xml:space="preserve"> PRINTDATE  \@ "d/M/yyyy HH:mm:ss"  \* MERGEFORMAT </w:instrText>
    </w:r>
    <w:r w:rsidR="00897512" w:rsidRPr="00487F56">
      <w:rPr>
        <w:sz w:val="20"/>
        <w:szCs w:val="20"/>
      </w:rPr>
      <w:fldChar w:fldCharType="separate"/>
    </w:r>
    <w:r w:rsidR="0021273E">
      <w:rPr>
        <w:noProof/>
        <w:sz w:val="20"/>
        <w:szCs w:val="20"/>
      </w:rPr>
      <w:t>18/09/2026 15</w:t>
    </w:r>
    <w:r w:rsidR="0021273E">
      <w:rPr>
        <w:noProof/>
        <w:sz w:val="20"/>
        <w:szCs w:val="20"/>
      </w:rPr>
      <w:t>:02:00</w:t>
    </w:r>
    <w:r w:rsidR="00897512" w:rsidRPr="00487F56">
      <w:rPr>
        <w:sz w:val="20"/>
        <w:szCs w:val="20"/>
      </w:rPr>
      <w:fldChar w:fldCharType="end"/>
    </w:r>
    <w:r w:rsidRPr="001C19C4">
      <w:rPr>
        <w:color w:val="333333"/>
        <w:sz w:val="20"/>
      </w:rPr>
      <w:t xml:space="preserve">  -  Cantidad de caracteres: </w:t>
    </w:r>
    <w:fldSimple w:instr=" NUMCHARS  \* MERGEFORMAT ">
      <w:r w:rsidR="0021273E" w:rsidRPr="0021273E">
        <w:rPr>
          <w:noProof/>
          <w:color w:val="333333"/>
          <w:sz w:val="20"/>
        </w:rPr>
        <w:t>34223</w:t>
      </w:r>
    </w:fldSimple>
    <w:r w:rsidRPr="001C19C4">
      <w:rPr>
        <w:color w:val="333333"/>
        <w:sz w:val="20"/>
      </w:rPr>
      <w:t xml:space="preserve"> - Cantidad de palabras: </w:t>
    </w:r>
    <w:fldSimple w:instr=" NUMWORDS  \* MERGEFORMAT ">
      <w:r w:rsidR="0021273E" w:rsidRPr="0021273E">
        <w:rPr>
          <w:noProof/>
          <w:color w:val="333333"/>
          <w:sz w:val="20"/>
        </w:rPr>
        <w:t>6153</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897512" w:rsidRPr="001C19C4">
      <w:rPr>
        <w:rStyle w:val="Nmerodepgina"/>
        <w:color w:val="333333"/>
      </w:rPr>
      <w:fldChar w:fldCharType="begin"/>
    </w:r>
    <w:r w:rsidRPr="001C19C4">
      <w:rPr>
        <w:rStyle w:val="Nmerodepgina"/>
        <w:color w:val="333333"/>
      </w:rPr>
      <w:instrText xml:space="preserve"> PAGE </w:instrText>
    </w:r>
    <w:r w:rsidR="00897512" w:rsidRPr="001C19C4">
      <w:rPr>
        <w:rStyle w:val="Nmerodepgina"/>
        <w:color w:val="333333"/>
      </w:rPr>
      <w:fldChar w:fldCharType="separate"/>
    </w:r>
    <w:r w:rsidR="0021273E">
      <w:rPr>
        <w:rStyle w:val="Nmerodepgina"/>
        <w:noProof/>
        <w:color w:val="333333"/>
      </w:rPr>
      <w:t>12</w:t>
    </w:r>
    <w:r w:rsidR="00897512" w:rsidRPr="001C19C4">
      <w:rPr>
        <w:rStyle w:val="Nmerodepgina"/>
        <w:color w:val="333333"/>
      </w:rPr>
      <w:fldChar w:fldCharType="end"/>
    </w:r>
    <w:r w:rsidRPr="001C19C4">
      <w:rPr>
        <w:rStyle w:val="Nmerodepgina"/>
        <w:color w:val="333333"/>
      </w:rPr>
      <w:t>/</w:t>
    </w:r>
    <w:fldSimple w:instr=" NUMPAGES  \* MERGEFORMAT ">
      <w:r w:rsidR="0021273E">
        <w:rPr>
          <w:noProof/>
        </w:rPr>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0FA1" w:rsidRDefault="00F40FA1" w:rsidP="00AF6364">
      <w:pPr>
        <w:spacing w:after="0" w:line="240" w:lineRule="auto"/>
      </w:pPr>
      <w:r>
        <w:separator/>
      </w:r>
    </w:p>
  </w:footnote>
  <w:footnote w:type="continuationSeparator" w:id="0">
    <w:p w:rsidR="00F40FA1" w:rsidRDefault="00F40FA1"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B36DD"/>
    <w:multiLevelType w:val="multilevel"/>
    <w:tmpl w:val="EC88B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95275A"/>
    <w:multiLevelType w:val="multilevel"/>
    <w:tmpl w:val="CE04F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84662F"/>
    <w:multiLevelType w:val="multilevel"/>
    <w:tmpl w:val="E3F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8F3252"/>
    <w:multiLevelType w:val="multilevel"/>
    <w:tmpl w:val="641265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EE1579"/>
    <w:multiLevelType w:val="multilevel"/>
    <w:tmpl w:val="122C6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32034B"/>
    <w:multiLevelType w:val="multilevel"/>
    <w:tmpl w:val="EB825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9D146E"/>
    <w:multiLevelType w:val="multilevel"/>
    <w:tmpl w:val="F84C2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9A600B"/>
    <w:multiLevelType w:val="hybridMultilevel"/>
    <w:tmpl w:val="C2D263F4"/>
    <w:lvl w:ilvl="0" w:tplc="2154DD82">
      <w:start w:val="2"/>
      <w:numFmt w:val="lowerLetter"/>
      <w:lvlText w:val="%1."/>
      <w:lvlJc w:val="left"/>
      <w:pPr>
        <w:tabs>
          <w:tab w:val="num" w:pos="720"/>
        </w:tabs>
        <w:ind w:left="720" w:hanging="360"/>
      </w:pPr>
    </w:lvl>
    <w:lvl w:ilvl="1" w:tplc="3F9C906C" w:tentative="1">
      <w:start w:val="1"/>
      <w:numFmt w:val="decimal"/>
      <w:lvlText w:val="%2."/>
      <w:lvlJc w:val="left"/>
      <w:pPr>
        <w:tabs>
          <w:tab w:val="num" w:pos="1440"/>
        </w:tabs>
        <w:ind w:left="1440" w:hanging="360"/>
      </w:pPr>
    </w:lvl>
    <w:lvl w:ilvl="2" w:tplc="ED1E16B2" w:tentative="1">
      <w:start w:val="1"/>
      <w:numFmt w:val="decimal"/>
      <w:lvlText w:val="%3."/>
      <w:lvlJc w:val="left"/>
      <w:pPr>
        <w:tabs>
          <w:tab w:val="num" w:pos="2160"/>
        </w:tabs>
        <w:ind w:left="2160" w:hanging="360"/>
      </w:pPr>
    </w:lvl>
    <w:lvl w:ilvl="3" w:tplc="F3A00180" w:tentative="1">
      <w:start w:val="1"/>
      <w:numFmt w:val="decimal"/>
      <w:lvlText w:val="%4."/>
      <w:lvlJc w:val="left"/>
      <w:pPr>
        <w:tabs>
          <w:tab w:val="num" w:pos="2880"/>
        </w:tabs>
        <w:ind w:left="2880" w:hanging="360"/>
      </w:pPr>
    </w:lvl>
    <w:lvl w:ilvl="4" w:tplc="E416CEA6" w:tentative="1">
      <w:start w:val="1"/>
      <w:numFmt w:val="decimal"/>
      <w:lvlText w:val="%5."/>
      <w:lvlJc w:val="left"/>
      <w:pPr>
        <w:tabs>
          <w:tab w:val="num" w:pos="3600"/>
        </w:tabs>
        <w:ind w:left="3600" w:hanging="360"/>
      </w:pPr>
    </w:lvl>
    <w:lvl w:ilvl="5" w:tplc="548C09D8" w:tentative="1">
      <w:start w:val="1"/>
      <w:numFmt w:val="decimal"/>
      <w:lvlText w:val="%6."/>
      <w:lvlJc w:val="left"/>
      <w:pPr>
        <w:tabs>
          <w:tab w:val="num" w:pos="4320"/>
        </w:tabs>
        <w:ind w:left="4320" w:hanging="360"/>
      </w:pPr>
    </w:lvl>
    <w:lvl w:ilvl="6" w:tplc="0E2E6002" w:tentative="1">
      <w:start w:val="1"/>
      <w:numFmt w:val="decimal"/>
      <w:lvlText w:val="%7."/>
      <w:lvlJc w:val="left"/>
      <w:pPr>
        <w:tabs>
          <w:tab w:val="num" w:pos="5040"/>
        </w:tabs>
        <w:ind w:left="5040" w:hanging="360"/>
      </w:pPr>
    </w:lvl>
    <w:lvl w:ilvl="7" w:tplc="AB9ABE6E" w:tentative="1">
      <w:start w:val="1"/>
      <w:numFmt w:val="decimal"/>
      <w:lvlText w:val="%8."/>
      <w:lvlJc w:val="left"/>
      <w:pPr>
        <w:tabs>
          <w:tab w:val="num" w:pos="5760"/>
        </w:tabs>
        <w:ind w:left="5760" w:hanging="360"/>
      </w:pPr>
    </w:lvl>
    <w:lvl w:ilvl="8" w:tplc="0848374E" w:tentative="1">
      <w:start w:val="1"/>
      <w:numFmt w:val="decimal"/>
      <w:lvlText w:val="%9."/>
      <w:lvlJc w:val="left"/>
      <w:pPr>
        <w:tabs>
          <w:tab w:val="num" w:pos="6480"/>
        </w:tabs>
        <w:ind w:left="6480" w:hanging="360"/>
      </w:pPr>
    </w:lvl>
  </w:abstractNum>
  <w:abstractNum w:abstractNumId="8">
    <w:nsid w:val="5396577C"/>
    <w:multiLevelType w:val="hybridMultilevel"/>
    <w:tmpl w:val="CF06C3DC"/>
    <w:lvl w:ilvl="0" w:tplc="7FCC1EE8">
      <w:start w:val="6"/>
      <w:numFmt w:val="lowerLetter"/>
      <w:lvlText w:val="%1."/>
      <w:lvlJc w:val="left"/>
      <w:pPr>
        <w:tabs>
          <w:tab w:val="num" w:pos="720"/>
        </w:tabs>
        <w:ind w:left="720" w:hanging="360"/>
      </w:pPr>
    </w:lvl>
    <w:lvl w:ilvl="1" w:tplc="14D210DC" w:tentative="1">
      <w:start w:val="1"/>
      <w:numFmt w:val="decimal"/>
      <w:lvlText w:val="%2."/>
      <w:lvlJc w:val="left"/>
      <w:pPr>
        <w:tabs>
          <w:tab w:val="num" w:pos="1440"/>
        </w:tabs>
        <w:ind w:left="1440" w:hanging="360"/>
      </w:pPr>
    </w:lvl>
    <w:lvl w:ilvl="2" w:tplc="4E547322" w:tentative="1">
      <w:start w:val="1"/>
      <w:numFmt w:val="decimal"/>
      <w:lvlText w:val="%3."/>
      <w:lvlJc w:val="left"/>
      <w:pPr>
        <w:tabs>
          <w:tab w:val="num" w:pos="2160"/>
        </w:tabs>
        <w:ind w:left="2160" w:hanging="360"/>
      </w:pPr>
    </w:lvl>
    <w:lvl w:ilvl="3" w:tplc="65AC0018" w:tentative="1">
      <w:start w:val="1"/>
      <w:numFmt w:val="decimal"/>
      <w:lvlText w:val="%4."/>
      <w:lvlJc w:val="left"/>
      <w:pPr>
        <w:tabs>
          <w:tab w:val="num" w:pos="2880"/>
        </w:tabs>
        <w:ind w:left="2880" w:hanging="360"/>
      </w:pPr>
    </w:lvl>
    <w:lvl w:ilvl="4" w:tplc="075A4F68" w:tentative="1">
      <w:start w:val="1"/>
      <w:numFmt w:val="decimal"/>
      <w:lvlText w:val="%5."/>
      <w:lvlJc w:val="left"/>
      <w:pPr>
        <w:tabs>
          <w:tab w:val="num" w:pos="3600"/>
        </w:tabs>
        <w:ind w:left="3600" w:hanging="360"/>
      </w:pPr>
    </w:lvl>
    <w:lvl w:ilvl="5" w:tplc="D83869C0" w:tentative="1">
      <w:start w:val="1"/>
      <w:numFmt w:val="decimal"/>
      <w:lvlText w:val="%6."/>
      <w:lvlJc w:val="left"/>
      <w:pPr>
        <w:tabs>
          <w:tab w:val="num" w:pos="4320"/>
        </w:tabs>
        <w:ind w:left="4320" w:hanging="360"/>
      </w:pPr>
    </w:lvl>
    <w:lvl w:ilvl="6" w:tplc="62E8EB06" w:tentative="1">
      <w:start w:val="1"/>
      <w:numFmt w:val="decimal"/>
      <w:lvlText w:val="%7."/>
      <w:lvlJc w:val="left"/>
      <w:pPr>
        <w:tabs>
          <w:tab w:val="num" w:pos="5040"/>
        </w:tabs>
        <w:ind w:left="5040" w:hanging="360"/>
      </w:pPr>
    </w:lvl>
    <w:lvl w:ilvl="7" w:tplc="0B0045BA" w:tentative="1">
      <w:start w:val="1"/>
      <w:numFmt w:val="decimal"/>
      <w:lvlText w:val="%8."/>
      <w:lvlJc w:val="left"/>
      <w:pPr>
        <w:tabs>
          <w:tab w:val="num" w:pos="5760"/>
        </w:tabs>
        <w:ind w:left="5760" w:hanging="360"/>
      </w:pPr>
    </w:lvl>
    <w:lvl w:ilvl="8" w:tplc="7978535C" w:tentative="1">
      <w:start w:val="1"/>
      <w:numFmt w:val="decimal"/>
      <w:lvlText w:val="%9."/>
      <w:lvlJc w:val="left"/>
      <w:pPr>
        <w:tabs>
          <w:tab w:val="num" w:pos="6480"/>
        </w:tabs>
        <w:ind w:left="6480" w:hanging="360"/>
      </w:pPr>
    </w:lvl>
  </w:abstractNum>
  <w:abstractNum w:abstractNumId="9">
    <w:nsid w:val="75F62DF7"/>
    <w:multiLevelType w:val="multilevel"/>
    <w:tmpl w:val="146E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5A0479"/>
    <w:multiLevelType w:val="multilevel"/>
    <w:tmpl w:val="8E64F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ABF3161"/>
    <w:multiLevelType w:val="multilevel"/>
    <w:tmpl w:val="2F0E9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lvlOverride w:ilvl="0">
      <w:lvl w:ilvl="0">
        <w:numFmt w:val="lowerLetter"/>
        <w:lvlText w:val="%1."/>
        <w:lvlJc w:val="left"/>
      </w:lvl>
    </w:lvlOverride>
  </w:num>
  <w:num w:numId="2">
    <w:abstractNumId w:val="10"/>
    <w:lvlOverride w:ilvl="0">
      <w:lvl w:ilvl="0">
        <w:numFmt w:val="lowerLetter"/>
        <w:lvlText w:val="%1."/>
        <w:lvlJc w:val="left"/>
      </w:lvl>
    </w:lvlOverride>
  </w:num>
  <w:num w:numId="3">
    <w:abstractNumId w:val="6"/>
    <w:lvlOverride w:ilvl="0">
      <w:lvl w:ilvl="0">
        <w:numFmt w:val="lowerLetter"/>
        <w:lvlText w:val="%1."/>
        <w:lvlJc w:val="left"/>
      </w:lvl>
    </w:lvlOverride>
  </w:num>
  <w:num w:numId="4">
    <w:abstractNumId w:val="7"/>
  </w:num>
  <w:num w:numId="5">
    <w:abstractNumId w:val="7"/>
    <w:lvlOverride w:ilvl="0">
      <w:lvl w:ilvl="0" w:tplc="2154DD82">
        <w:numFmt w:val="lowerLetter"/>
        <w:lvlText w:val="%1."/>
        <w:lvlJc w:val="left"/>
      </w:lvl>
    </w:lvlOverride>
  </w:num>
  <w:num w:numId="6">
    <w:abstractNumId w:val="7"/>
    <w:lvlOverride w:ilvl="0">
      <w:lvl w:ilvl="0" w:tplc="2154DD82">
        <w:numFmt w:val="lowerLetter"/>
        <w:lvlText w:val="%1."/>
        <w:lvlJc w:val="left"/>
      </w:lvl>
    </w:lvlOverride>
  </w:num>
  <w:num w:numId="7">
    <w:abstractNumId w:val="7"/>
    <w:lvlOverride w:ilvl="0">
      <w:lvl w:ilvl="0" w:tplc="2154DD82">
        <w:numFmt w:val="lowerLetter"/>
        <w:lvlText w:val="%1."/>
        <w:lvlJc w:val="left"/>
      </w:lvl>
    </w:lvlOverride>
  </w:num>
  <w:num w:numId="8">
    <w:abstractNumId w:val="7"/>
    <w:lvlOverride w:ilvl="0">
      <w:lvl w:ilvl="0" w:tplc="2154DD82">
        <w:numFmt w:val="lowerLetter"/>
        <w:lvlText w:val="%1."/>
        <w:lvlJc w:val="left"/>
      </w:lvl>
    </w:lvlOverride>
  </w:num>
  <w:num w:numId="9">
    <w:abstractNumId w:val="7"/>
    <w:lvlOverride w:ilvl="0">
      <w:lvl w:ilvl="0" w:tplc="2154DD82">
        <w:numFmt w:val="lowerLetter"/>
        <w:lvlText w:val="%1."/>
        <w:lvlJc w:val="left"/>
      </w:lvl>
    </w:lvlOverride>
  </w:num>
  <w:num w:numId="10">
    <w:abstractNumId w:val="7"/>
    <w:lvlOverride w:ilvl="0">
      <w:lvl w:ilvl="0" w:tplc="2154DD82">
        <w:numFmt w:val="lowerLetter"/>
        <w:lvlText w:val="%1."/>
        <w:lvlJc w:val="left"/>
      </w:lvl>
    </w:lvlOverride>
  </w:num>
  <w:num w:numId="11">
    <w:abstractNumId w:val="7"/>
    <w:lvlOverride w:ilvl="0">
      <w:lvl w:ilvl="0" w:tplc="2154DD82">
        <w:numFmt w:val="lowerLetter"/>
        <w:lvlText w:val="%1."/>
        <w:lvlJc w:val="left"/>
      </w:lvl>
    </w:lvlOverride>
  </w:num>
  <w:num w:numId="12">
    <w:abstractNumId w:val="7"/>
    <w:lvlOverride w:ilvl="0">
      <w:lvl w:ilvl="0" w:tplc="2154DD82">
        <w:numFmt w:val="lowerLetter"/>
        <w:lvlText w:val="%1."/>
        <w:lvlJc w:val="left"/>
      </w:lvl>
    </w:lvlOverride>
  </w:num>
  <w:num w:numId="13">
    <w:abstractNumId w:val="3"/>
    <w:lvlOverride w:ilvl="0">
      <w:lvl w:ilvl="0">
        <w:numFmt w:val="lowerLetter"/>
        <w:lvlText w:val="%1."/>
        <w:lvlJc w:val="left"/>
      </w:lvl>
    </w:lvlOverride>
  </w:num>
  <w:num w:numId="14">
    <w:abstractNumId w:val="3"/>
    <w:lvlOverride w:ilvl="0">
      <w:lvl w:ilvl="0">
        <w:numFmt w:val="lowerLetter"/>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5">
    <w:abstractNumId w:val="9"/>
  </w:num>
  <w:num w:numId="16">
    <w:abstractNumId w:val="8"/>
  </w:num>
  <w:num w:numId="17">
    <w:abstractNumId w:val="8"/>
    <w:lvlOverride w:ilvl="0">
      <w:lvl w:ilvl="0" w:tplc="7FCC1EE8">
        <w:numFmt w:val="lowerLetter"/>
        <w:lvlText w:val="%1."/>
        <w:lvlJc w:val="left"/>
      </w:lvl>
    </w:lvlOverride>
  </w:num>
  <w:num w:numId="18">
    <w:abstractNumId w:val="8"/>
    <w:lvlOverride w:ilvl="0">
      <w:lvl w:ilvl="0" w:tplc="7FCC1EE8">
        <w:numFmt w:val="lowerLetter"/>
        <w:lvlText w:val="%1."/>
        <w:lvlJc w:val="left"/>
      </w:lvl>
    </w:lvlOverride>
  </w:num>
  <w:num w:numId="19">
    <w:abstractNumId w:val="8"/>
    <w:lvlOverride w:ilvl="0">
      <w:lvl w:ilvl="0" w:tplc="7FCC1EE8">
        <w:numFmt w:val="lowerLetter"/>
        <w:lvlText w:val="%1."/>
        <w:lvlJc w:val="left"/>
      </w:lvl>
    </w:lvlOverride>
  </w:num>
  <w:num w:numId="20">
    <w:abstractNumId w:val="8"/>
    <w:lvlOverride w:ilvl="0">
      <w:lvl w:ilvl="0" w:tplc="7FCC1EE8">
        <w:numFmt w:val="lowerLetter"/>
        <w:lvlText w:val="%1."/>
        <w:lvlJc w:val="left"/>
      </w:lvl>
    </w:lvlOverride>
  </w:num>
  <w:num w:numId="21">
    <w:abstractNumId w:val="8"/>
    <w:lvlOverride w:ilvl="0">
      <w:lvl w:ilvl="0" w:tplc="7FCC1EE8">
        <w:numFmt w:val="lowerLetter"/>
        <w:lvlText w:val="%1."/>
        <w:lvlJc w:val="left"/>
      </w:lvl>
    </w:lvlOverride>
  </w:num>
  <w:num w:numId="22">
    <w:abstractNumId w:val="8"/>
    <w:lvlOverride w:ilvl="0">
      <w:lvl w:ilvl="0" w:tplc="7FCC1EE8">
        <w:numFmt w:val="lowerLetter"/>
        <w:lvlText w:val="%1."/>
        <w:lvlJc w:val="left"/>
      </w:lvl>
    </w:lvlOverride>
  </w:num>
  <w:num w:numId="23">
    <w:abstractNumId w:val="8"/>
    <w:lvlOverride w:ilvl="0">
      <w:lvl w:ilvl="0" w:tplc="7FCC1EE8">
        <w:numFmt w:val="lowerLetter"/>
        <w:lvlText w:val="%1."/>
        <w:lvlJc w:val="left"/>
      </w:lvl>
    </w:lvlOverride>
  </w:num>
  <w:num w:numId="24">
    <w:abstractNumId w:val="8"/>
    <w:lvlOverride w:ilvl="0">
      <w:lvl w:ilvl="0" w:tplc="7FCC1EE8">
        <w:numFmt w:val="lowerLetter"/>
        <w:lvlText w:val="%1."/>
        <w:lvlJc w:val="left"/>
      </w:lvl>
    </w:lvlOverride>
  </w:num>
  <w:num w:numId="25">
    <w:abstractNumId w:val="8"/>
    <w:lvlOverride w:ilvl="0">
      <w:lvl w:ilvl="0" w:tplc="7FCC1EE8">
        <w:numFmt w:val="lowerLetter"/>
        <w:lvlText w:val="%1."/>
        <w:lvlJc w:val="left"/>
      </w:lvl>
    </w:lvlOverride>
  </w:num>
  <w:num w:numId="26">
    <w:abstractNumId w:val="8"/>
    <w:lvlOverride w:ilvl="0">
      <w:lvl w:ilvl="0" w:tplc="7FCC1EE8">
        <w:numFmt w:val="lowerLetter"/>
        <w:lvlText w:val="%1."/>
        <w:lvlJc w:val="left"/>
      </w:lvl>
    </w:lvlOverride>
  </w:num>
  <w:num w:numId="27">
    <w:abstractNumId w:val="5"/>
    <w:lvlOverride w:ilvl="0">
      <w:lvl w:ilvl="0">
        <w:numFmt w:val="lowerLetter"/>
        <w:lvlText w:val="%1."/>
        <w:lvlJc w:val="left"/>
      </w:lvl>
    </w:lvlOverride>
  </w:num>
  <w:num w:numId="28">
    <w:abstractNumId w:val="2"/>
  </w:num>
  <w:num w:numId="29">
    <w:abstractNumId w:val="1"/>
    <w:lvlOverride w:ilvl="0">
      <w:lvl w:ilvl="0">
        <w:numFmt w:val="lowerLetter"/>
        <w:lvlText w:val="%1."/>
        <w:lvlJc w:val="left"/>
      </w:lvl>
    </w:lvlOverride>
  </w:num>
  <w:num w:numId="30">
    <w:abstractNumId w:val="0"/>
    <w:lvlOverride w:ilvl="0">
      <w:lvl w:ilvl="0">
        <w:numFmt w:val="lowerLetter"/>
        <w:lvlText w:val="%1."/>
        <w:lvlJc w:val="left"/>
      </w:lvl>
    </w:lvlOverride>
  </w:num>
  <w:num w:numId="31">
    <w:abstractNumId w:val="4"/>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F40FA1"/>
    <w:rsid w:val="000425FE"/>
    <w:rsid w:val="001321D0"/>
    <w:rsid w:val="0021273E"/>
    <w:rsid w:val="002B0876"/>
    <w:rsid w:val="00425C91"/>
    <w:rsid w:val="00476D68"/>
    <w:rsid w:val="00487F56"/>
    <w:rsid w:val="004F14B4"/>
    <w:rsid w:val="00597CD1"/>
    <w:rsid w:val="00646C3C"/>
    <w:rsid w:val="006A0EE0"/>
    <w:rsid w:val="006D1BAF"/>
    <w:rsid w:val="006E4861"/>
    <w:rsid w:val="0072782F"/>
    <w:rsid w:val="00746F04"/>
    <w:rsid w:val="00785CAD"/>
    <w:rsid w:val="007D5575"/>
    <w:rsid w:val="00813615"/>
    <w:rsid w:val="0081386C"/>
    <w:rsid w:val="00887FEC"/>
    <w:rsid w:val="00897512"/>
    <w:rsid w:val="009A4135"/>
    <w:rsid w:val="00AF3B91"/>
    <w:rsid w:val="00AF6364"/>
    <w:rsid w:val="00B24DD0"/>
    <w:rsid w:val="00C33CB5"/>
    <w:rsid w:val="00C60B5C"/>
    <w:rsid w:val="00CE1C48"/>
    <w:rsid w:val="00DA6887"/>
    <w:rsid w:val="00DB479F"/>
    <w:rsid w:val="00F40FA1"/>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512"/>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21273E"/>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21273E"/>
  </w:style>
  <w:style w:type="paragraph" w:styleId="Textodeglobo">
    <w:name w:val="Balloon Text"/>
    <w:basedOn w:val="Normal"/>
    <w:link w:val="TextodegloboCar"/>
    <w:uiPriority w:val="99"/>
    <w:semiHidden/>
    <w:unhideWhenUsed/>
    <w:rsid w:val="0021273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127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171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runchio\Downloads\e7b58d1b-eea4-4404-923e-d5fc4fc686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F5EBC1-FE10-48C2-9A77-EE1D13F9D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e7b58d1b-eea4-4404-923e-d5fc4fc68631</Template>
  <TotalTime>9</TotalTime>
  <Pages>12</Pages>
  <Words>6153</Words>
  <Characters>34223</Characters>
  <Application>Microsoft Office Word</Application>
  <DocSecurity>0</DocSecurity>
  <Lines>625</Lines>
  <Paragraphs>169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jucarunchio</dc:creator>
  <cp:lastModifiedBy>jucarunchio</cp:lastModifiedBy>
  <cp:revision>1</cp:revision>
  <cp:lastPrinted>2024-04-06T03:02:00Z</cp:lastPrinted>
  <dcterms:created xsi:type="dcterms:W3CDTF">2026-09-18T18:01:00Z</dcterms:created>
  <dcterms:modified xsi:type="dcterms:W3CDTF">2026-09-18T18:10:00Z</dcterms:modified>
</cp:coreProperties>
</file>