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Legislatura de la Ciudad Autónoma de Buenos Aires</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Visto: </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 xml:space="preserve">                                      Que en el Expediente Nº 322-D-2026 proyecto de Resolución de autoría de los Diputados, González Andrea Mariana, </w:t>
      </w:r>
      <w:proofErr w:type="spellStart"/>
      <w:r w:rsidRPr="001E4FEA">
        <w:rPr>
          <w:rFonts w:ascii="Times New Roman" w:eastAsia="Times New Roman" w:hAnsi="Times New Roman" w:cs="Times New Roman"/>
          <w:color w:val="000000"/>
          <w:kern w:val="0"/>
          <w:sz w:val="24"/>
          <w:szCs w:val="24"/>
          <w:lang w:val="es-ES" w:eastAsia="es-ES"/>
        </w:rPr>
        <w:t>Bielli</w:t>
      </w:r>
      <w:proofErr w:type="spellEnd"/>
      <w:r w:rsidRPr="001E4FEA">
        <w:rPr>
          <w:rFonts w:ascii="Times New Roman" w:eastAsia="Times New Roman" w:hAnsi="Times New Roman" w:cs="Times New Roman"/>
          <w:color w:val="000000"/>
          <w:kern w:val="0"/>
          <w:sz w:val="24"/>
          <w:szCs w:val="24"/>
          <w:lang w:val="es-ES" w:eastAsia="es-ES"/>
        </w:rPr>
        <w:t xml:space="preserve"> María, Freire Victoria, </w:t>
      </w:r>
      <w:proofErr w:type="spellStart"/>
      <w:r w:rsidRPr="001E4FEA">
        <w:rPr>
          <w:rFonts w:ascii="Times New Roman" w:eastAsia="Times New Roman" w:hAnsi="Times New Roman" w:cs="Times New Roman"/>
          <w:color w:val="000000"/>
          <w:kern w:val="0"/>
          <w:sz w:val="24"/>
          <w:szCs w:val="24"/>
          <w:lang w:val="es-ES" w:eastAsia="es-ES"/>
        </w:rPr>
        <w:t>Iañez</w:t>
      </w:r>
      <w:proofErr w:type="spellEnd"/>
      <w:r w:rsidRPr="001E4FEA">
        <w:rPr>
          <w:rFonts w:ascii="Times New Roman" w:eastAsia="Times New Roman" w:hAnsi="Times New Roman" w:cs="Times New Roman"/>
          <w:color w:val="000000"/>
          <w:kern w:val="0"/>
          <w:sz w:val="24"/>
          <w:szCs w:val="24"/>
          <w:lang w:val="es-ES" w:eastAsia="es-ES"/>
        </w:rPr>
        <w:t xml:space="preserve"> Berenice, </w:t>
      </w:r>
      <w:proofErr w:type="spellStart"/>
      <w:r w:rsidRPr="001E4FEA">
        <w:rPr>
          <w:rFonts w:ascii="Times New Roman" w:eastAsia="Times New Roman" w:hAnsi="Times New Roman" w:cs="Times New Roman"/>
          <w:color w:val="000000"/>
          <w:kern w:val="0"/>
          <w:sz w:val="24"/>
          <w:szCs w:val="24"/>
          <w:lang w:val="es-ES" w:eastAsia="es-ES"/>
        </w:rPr>
        <w:t>Lammens</w:t>
      </w:r>
      <w:proofErr w:type="spellEnd"/>
      <w:r w:rsidRPr="001E4FEA">
        <w:rPr>
          <w:rFonts w:ascii="Times New Roman" w:eastAsia="Times New Roman" w:hAnsi="Times New Roman" w:cs="Times New Roman"/>
          <w:color w:val="000000"/>
          <w:kern w:val="0"/>
          <w:sz w:val="24"/>
          <w:szCs w:val="24"/>
          <w:lang w:val="es-ES" w:eastAsia="es-ES"/>
        </w:rPr>
        <w:t xml:space="preserve"> Matías, </w:t>
      </w:r>
      <w:proofErr w:type="spellStart"/>
      <w:r w:rsidRPr="001E4FEA">
        <w:rPr>
          <w:rFonts w:ascii="Times New Roman" w:eastAsia="Times New Roman" w:hAnsi="Times New Roman" w:cs="Times New Roman"/>
          <w:color w:val="000000"/>
          <w:kern w:val="0"/>
          <w:sz w:val="24"/>
          <w:szCs w:val="24"/>
          <w:lang w:val="es-ES" w:eastAsia="es-ES"/>
        </w:rPr>
        <w:t>Rossen</w:t>
      </w:r>
      <w:proofErr w:type="spellEnd"/>
      <w:r w:rsidRPr="001E4FEA">
        <w:rPr>
          <w:rFonts w:ascii="Times New Roman" w:eastAsia="Times New Roman" w:hAnsi="Times New Roman" w:cs="Times New Roman"/>
          <w:color w:val="000000"/>
          <w:kern w:val="0"/>
          <w:sz w:val="24"/>
          <w:szCs w:val="24"/>
          <w:lang w:val="es-ES" w:eastAsia="es-ES"/>
        </w:rPr>
        <w:t xml:space="preserve"> Bárbara y Salvatierra Alejandro, quienes solicitan informes referidos a la situación </w:t>
      </w:r>
      <w:proofErr w:type="spellStart"/>
      <w:r w:rsidRPr="001E4FEA">
        <w:rPr>
          <w:rFonts w:ascii="Times New Roman" w:eastAsia="Times New Roman" w:hAnsi="Times New Roman" w:cs="Times New Roman"/>
          <w:color w:val="000000"/>
          <w:kern w:val="0"/>
          <w:sz w:val="24"/>
          <w:szCs w:val="24"/>
          <w:lang w:val="es-ES" w:eastAsia="es-ES"/>
        </w:rPr>
        <w:t>socioambiental</w:t>
      </w:r>
      <w:proofErr w:type="spellEnd"/>
      <w:r w:rsidRPr="001E4FEA">
        <w:rPr>
          <w:rFonts w:ascii="Times New Roman" w:eastAsia="Times New Roman" w:hAnsi="Times New Roman" w:cs="Times New Roman"/>
          <w:color w:val="000000"/>
          <w:kern w:val="0"/>
          <w:sz w:val="24"/>
          <w:szCs w:val="24"/>
          <w:lang w:val="es-ES" w:eastAsia="es-ES"/>
        </w:rPr>
        <w:t xml:space="preserve"> de los barrios populares de la Ciudad de Buenos Aires, y </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Considerando: </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firstLine="709"/>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Que la Constitución de la Ciudad Autónoma de Buenos Aires establece en sus artículos 26 y 27 el derecho de toda persona que habite la Ciudad a gozar de un ambiente sano, y determina como responsabilidad del Gobierno de la Ciudad el desarrollo de una política de planeamiento y gestión del ambiente urbano integrada a las políticas de desarrollo económico, social y cultural;</w:t>
      </w:r>
    </w:p>
    <w:p w:rsidR="001E4FEA" w:rsidRPr="001E4FEA" w:rsidRDefault="001E4FEA" w:rsidP="001E4FEA">
      <w:pPr>
        <w:spacing w:after="0" w:line="240" w:lineRule="auto"/>
        <w:ind w:firstLine="709"/>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Que estos principios se encuentran reflejados en el Plan de Acción Climática 2050 (PACC 2050), que establece entre sus ámbitos de actuación la construcción de una “Ciudad preparada”, orientada a reducir el riesgo climático mediante la construcción y mantenimiento de obras de infraestructura, y de una “Ciudad inclusiva”, que contemple una distribución justa de los beneficios de la acción climática y la integración de todos los barrios;</w:t>
      </w:r>
    </w:p>
    <w:p w:rsidR="001E4FEA" w:rsidRPr="001E4FEA" w:rsidRDefault="001E4FEA" w:rsidP="001E4FEA">
      <w:pPr>
        <w:spacing w:after="0" w:line="240" w:lineRule="auto"/>
        <w:ind w:firstLine="709"/>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Que, de acuerdo con las cifras del Registro Nacional de Barrios Populares (</w:t>
      </w:r>
      <w:proofErr w:type="spellStart"/>
      <w:r w:rsidRPr="001E4FEA">
        <w:rPr>
          <w:rFonts w:ascii="Times New Roman" w:eastAsia="Times New Roman" w:hAnsi="Times New Roman" w:cs="Times New Roman"/>
          <w:color w:val="000000"/>
          <w:kern w:val="0"/>
          <w:sz w:val="24"/>
          <w:szCs w:val="24"/>
          <w:lang w:val="es-ES" w:eastAsia="es-ES"/>
        </w:rPr>
        <w:t>ReNaBaP</w:t>
      </w:r>
      <w:proofErr w:type="spellEnd"/>
      <w:r w:rsidRPr="001E4FEA">
        <w:rPr>
          <w:rFonts w:ascii="Times New Roman" w:eastAsia="Times New Roman" w:hAnsi="Times New Roman" w:cs="Times New Roman"/>
          <w:color w:val="000000"/>
          <w:kern w:val="0"/>
          <w:sz w:val="24"/>
          <w:szCs w:val="24"/>
          <w:lang w:val="es-ES" w:eastAsia="es-ES"/>
        </w:rPr>
        <w:t>), en la Ciudad existen 49 barrios populares en los que habitan más de 75.000 familias. Dicho Registro define como barrios populares a aquellos comúnmente denominados villas, asentamientos y urbanizaciones informales, que presentan distintos grados de precariedad y hacinamiento, déficit en el acceso formal a los servicios básicos y situaciones de irregularidad en la tenencia del suelo;</w:t>
      </w:r>
    </w:p>
    <w:p w:rsidR="001E4FEA" w:rsidRPr="001E4FEA" w:rsidRDefault="001E4FEA" w:rsidP="001E4FEA">
      <w:pPr>
        <w:spacing w:after="0" w:line="240" w:lineRule="auto"/>
        <w:ind w:firstLine="709"/>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Que las posibles deficiencias en las condiciones habitacionales y los obstáculos para el acceso a servicios básicos y a la red de salud pública pueden generar una mayor vulnerabilidad de la población que habita estos barrios frente a emergencias climáticas y situaciones de deterioro ambiental vinculadas, entre otras cuestiones, a la contaminación del aire y del agua;</w:t>
      </w:r>
    </w:p>
    <w:p w:rsidR="001E4FEA" w:rsidRPr="001E4FEA" w:rsidRDefault="001E4FEA" w:rsidP="001E4FEA">
      <w:pPr>
        <w:spacing w:after="0" w:line="240" w:lineRule="auto"/>
        <w:ind w:firstLine="709"/>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Que, en este marco, resulta necesario contar con información sobre los planes, programas y acciones implementados por el Poder Ejecutivo para garantizar el derecho a un ambiente sano en los barrios populares y prevenir y mitigar los impactos de las emergencias ambientales sobre las familias que allí habitan.</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left="720"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Por lo expuesto, esta Comisión de Vivienda aconseja la aprobación de la</w:t>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proofErr w:type="gramStart"/>
      <w:r w:rsidRPr="001E4FEA">
        <w:rPr>
          <w:rFonts w:ascii="Times New Roman" w:eastAsia="Times New Roman" w:hAnsi="Times New Roman" w:cs="Times New Roman"/>
          <w:color w:val="000000"/>
          <w:kern w:val="0"/>
          <w:sz w:val="24"/>
          <w:szCs w:val="24"/>
          <w:lang w:val="es-ES" w:eastAsia="es-ES"/>
        </w:rPr>
        <w:t>siguiente</w:t>
      </w:r>
      <w:proofErr w:type="gramEnd"/>
      <w:r w:rsidRPr="001E4FEA">
        <w:rPr>
          <w:rFonts w:ascii="Times New Roman" w:eastAsia="Times New Roman" w:hAnsi="Times New Roman" w:cs="Times New Roman"/>
          <w:color w:val="000000"/>
          <w:kern w:val="0"/>
          <w:sz w:val="24"/>
          <w:szCs w:val="24"/>
          <w:lang w:val="es-ES" w:eastAsia="es-ES"/>
        </w:rPr>
        <w:t>:</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center"/>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b/>
          <w:bCs/>
          <w:color w:val="000000"/>
          <w:kern w:val="0"/>
          <w:sz w:val="24"/>
          <w:szCs w:val="24"/>
          <w:lang w:val="es-ES" w:eastAsia="es-ES"/>
        </w:rPr>
        <w:t>RESOLUCIÓN</w:t>
      </w:r>
    </w:p>
    <w:p w:rsidR="001E4FEA" w:rsidRPr="001E4FEA" w:rsidRDefault="001E4FEA" w:rsidP="001E4FEA">
      <w:pPr>
        <w:spacing w:after="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before="274" w:after="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b/>
          <w:bCs/>
          <w:color w:val="000000"/>
          <w:kern w:val="0"/>
          <w:sz w:val="24"/>
          <w:szCs w:val="24"/>
          <w:lang w:val="es-ES" w:eastAsia="es-ES"/>
        </w:rPr>
        <w:t xml:space="preserve">Artículo 1°.- </w:t>
      </w:r>
      <w:r w:rsidRPr="001E4FEA">
        <w:rPr>
          <w:rFonts w:ascii="Times New Roman" w:eastAsia="Times New Roman" w:hAnsi="Times New Roman" w:cs="Times New Roman"/>
          <w:color w:val="000000"/>
          <w:kern w:val="0"/>
          <w:sz w:val="24"/>
          <w:szCs w:val="24"/>
          <w:lang w:val="es-ES" w:eastAsia="es-ES"/>
        </w:rPr>
        <w:t xml:space="preserve">La Legislatura de la Ciudad Autónoma de Buenos Aires solicita al Poder Ejecutivo que, en un plazo máximo de 30 (treinta) días de recibida la presente, y a través de los organismos que corresponda, informe sobre los siguientes puntos vinculados a la situación </w:t>
      </w:r>
      <w:proofErr w:type="spellStart"/>
      <w:r w:rsidRPr="001E4FEA">
        <w:rPr>
          <w:rFonts w:ascii="Times New Roman" w:eastAsia="Times New Roman" w:hAnsi="Times New Roman" w:cs="Times New Roman"/>
          <w:color w:val="000000"/>
          <w:kern w:val="0"/>
          <w:sz w:val="24"/>
          <w:szCs w:val="24"/>
          <w:lang w:val="es-ES" w:eastAsia="es-ES"/>
        </w:rPr>
        <w:t>socioambiental</w:t>
      </w:r>
      <w:proofErr w:type="spellEnd"/>
      <w:r w:rsidRPr="001E4FEA">
        <w:rPr>
          <w:rFonts w:ascii="Times New Roman" w:eastAsia="Times New Roman" w:hAnsi="Times New Roman" w:cs="Times New Roman"/>
          <w:color w:val="000000"/>
          <w:kern w:val="0"/>
          <w:sz w:val="24"/>
          <w:szCs w:val="24"/>
          <w:lang w:val="es-ES" w:eastAsia="es-ES"/>
        </w:rPr>
        <w:t xml:space="preserve"> de los barrios populares de la Ciudad de Buenos Aires: </w:t>
      </w:r>
    </w:p>
    <w:p w:rsidR="001E4FEA" w:rsidRPr="001E4FEA" w:rsidRDefault="001E4FEA" w:rsidP="001E4FEA">
      <w:pPr>
        <w:spacing w:before="274" w:after="20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1- Informe sobre el alcance y condiciones del sistema pluvial en barrios populares de la Ciudad. Indique:</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Si las obras de integración urbana previstas o en ejecución por el Instituto de Vivienda de la Ciudad (IVC) para el 2026 contemplan obras de infraestructura pluvial. En caso afirmativo, detalle: ubicación de las obras, monto invertido, tipo de obra, estado de avance, y nivel de participación ciudadana en la planificación de las mismas.</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lastRenderedPageBreak/>
        <w:t>Si existen estudios que certifiquen que las obras de integración pluvial ya realizadas por dicho organismo están en condiciones de soportar el caudal máximo de lluvias, según el registro de los últimos cinco años. En caso afirmativo, detalle tipo de medición y resultados.</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Si el programa Asistencia a la Gestión de Riesgo de Inundaciones (Préstamo BIRF 8628 AR) incluye obras de infraestructura para la prevención de inundaciones en barrios populares; en caso afirmativo indique: ubicación de las obras, monto invertido, tipo de obra, estado de avance, y nivel de participación ciudadana en la planificación de las mismas.</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El plan de limpieza y mantenimiento de sumideros, tareas de barrido y desobstrucción de desagües, llevado adelante en barrios populares de la Ciudad. </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Si existen otros programas destinados a la prevención de inundaciones con alcance a barrios populares. En caso afirmativo, indicar: nombre del programa, unidad ejecutora, actividades planificadas, y presupuesto asignado.</w:t>
      </w:r>
    </w:p>
    <w:p w:rsidR="001E4FEA" w:rsidRPr="001E4FEA" w:rsidRDefault="001E4FEA" w:rsidP="001E4FEA">
      <w:pPr>
        <w:numPr>
          <w:ilvl w:val="0"/>
          <w:numId w:val="18"/>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Si se cuenta con un protocolo de respuesta frente a inundaciones y alertas meteorológicas adecuado para la especificidad de barrios populares. En caso afirmativo, indique organismo responsable y detalle protocolo.</w:t>
      </w:r>
    </w:p>
    <w:p w:rsidR="001E4FEA" w:rsidRPr="001E4FEA" w:rsidRDefault="001E4FEA" w:rsidP="001E4FEA">
      <w:pPr>
        <w:spacing w:before="274" w:after="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2- Informe sobre el Plan Integral de Saneamiento Ambiental (PISA) de la cuenca Matanza-Riachuelo. Indique:</w:t>
      </w:r>
    </w:p>
    <w:p w:rsidR="001E4FEA" w:rsidRPr="001E4FEA" w:rsidRDefault="001E4FEA" w:rsidP="001E4FEA">
      <w:pPr>
        <w:numPr>
          <w:ilvl w:val="0"/>
          <w:numId w:val="19"/>
        </w:numPr>
        <w:spacing w:before="274"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Las acciones de restauración ecológica previstas para los márgenes de la cuenca Matanza-Riachuelo para el año 2026. Informe alcance geográfico, unidad ejecutora y presupuesto asignado.</w:t>
      </w:r>
    </w:p>
    <w:p w:rsidR="001E4FEA" w:rsidRPr="001E4FEA" w:rsidRDefault="001E4FEA" w:rsidP="001E4FEA">
      <w:pPr>
        <w:numPr>
          <w:ilvl w:val="0"/>
          <w:numId w:val="19"/>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Las acciones de prevención y limpieza de basurales previstas para la cuenca Matanza-Riachuelo para el año 2026. Informe alcance geográfico, unidad ejecutora y presupuesto asignado.</w:t>
      </w:r>
    </w:p>
    <w:p w:rsidR="001E4FEA" w:rsidRPr="001E4FEA" w:rsidRDefault="001E4FEA" w:rsidP="001E4FEA">
      <w:pPr>
        <w:numPr>
          <w:ilvl w:val="0"/>
          <w:numId w:val="19"/>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Si se realizaron estudios sobre mortalidad infantil, patologías relacionadas a contaminación (diarrea, parasitosis, neumonía, enfermedad tipo influenza (ETI), etc.) y/o evaluaciones toxicológicas a habitantes de la cuenca Matanza-Riachuelo en el año 2025; en caso afirmativo informar según cantidad de personas evaluadas, tipo de medición y resultados.  </w:t>
      </w:r>
    </w:p>
    <w:p w:rsidR="001E4FEA" w:rsidRPr="001E4FEA" w:rsidRDefault="001E4FEA" w:rsidP="001E4FEA">
      <w:pPr>
        <w:numPr>
          <w:ilvl w:val="0"/>
          <w:numId w:val="19"/>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La cantidad de habitantes de la cuenca Matanza-Riachuelo que habita en una  vivienda deficitaria, entendida como aquella que carece de al menos una de las siguientes condiciones: piso de material, conexión regular a la red de agua, o red cloacal conectada a la red pluvial.</w:t>
      </w:r>
    </w:p>
    <w:p w:rsidR="001E4FEA" w:rsidRPr="001E4FEA" w:rsidRDefault="001E4FEA" w:rsidP="001E4FEA">
      <w:pPr>
        <w:numPr>
          <w:ilvl w:val="0"/>
          <w:numId w:val="19"/>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La cantidad de soluciones habitacionales entregadas por el Plan de Urbanización de Villas y Asentamientos Precarios en Áreas de Riesgo desde 2009 a la fecha, desagregando la información por año y por barrio popular.</w:t>
      </w:r>
    </w:p>
    <w:p w:rsidR="001E4FEA" w:rsidRPr="001E4FEA" w:rsidRDefault="001E4FEA" w:rsidP="001E4FEA">
      <w:pPr>
        <w:numPr>
          <w:ilvl w:val="0"/>
          <w:numId w:val="19"/>
        </w:numPr>
        <w:spacing w:after="0" w:line="240" w:lineRule="auto"/>
        <w:ind w:left="1440" w:right="138"/>
        <w:jc w:val="both"/>
        <w:textAlignment w:val="baseline"/>
        <w:rPr>
          <w:rFonts w:ascii="Times New Roman" w:eastAsia="Times New Roman" w:hAnsi="Times New Roman" w:cs="Times New Roman"/>
          <w:color w:val="000000"/>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El presupuesto asignado y ejecutado al Plan Integral de Saneamiento Ambiental (PISA) de la cuenca Matanza-Riachuelo en los años 2025 y 2026. Informe según programas, unidades ejecutoras y actividades presupuestadas y ejecutadas.</w:t>
      </w:r>
    </w:p>
    <w:p w:rsidR="001E4FEA" w:rsidRPr="001E4FEA" w:rsidRDefault="001E4FEA" w:rsidP="001E4FEA">
      <w:pPr>
        <w:spacing w:before="274" w:after="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3- Indique la proporción de la superficie urbana correspondiente a espacios abiertos para el uso público en barrios populares de la Ciudad. Detalle por barrio.</w:t>
      </w:r>
    </w:p>
    <w:p w:rsidR="001E4FEA" w:rsidRPr="001E4FEA" w:rsidRDefault="001E4FEA" w:rsidP="001E4FEA">
      <w:pPr>
        <w:spacing w:after="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4- Indique si además de las mediciones realizadas por la Estación de Monitoreo Atmosférico Automático (EPA) “La Boca”, existen otras mediciones sostenidas de calidad del aire con alcance a barrios populares de la Ciudad. En caso afirmativo indique método de estudio y resultados.</w:t>
      </w:r>
    </w:p>
    <w:p w:rsidR="001E4FEA" w:rsidRPr="001E4FEA" w:rsidRDefault="001E4FEA" w:rsidP="001E4FEA">
      <w:pPr>
        <w:spacing w:after="200" w:line="240" w:lineRule="auto"/>
        <w:ind w:right="138"/>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5- Informe si se cuenta con un protocolo de respuesta frente a incendios adecuado para el hacinamiento y dificultades de acceso propias de los barrios populares. En caso afirmativo, indique organismo responsable y detalle protocolo.</w:t>
      </w:r>
    </w:p>
    <w:p w:rsidR="001E4FEA" w:rsidRPr="001E4FEA" w:rsidRDefault="001E4FEA" w:rsidP="001E4FEA">
      <w:pPr>
        <w:spacing w:after="0" w:line="240" w:lineRule="auto"/>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b/>
          <w:bCs/>
          <w:color w:val="000000"/>
          <w:kern w:val="0"/>
          <w:sz w:val="24"/>
          <w:szCs w:val="24"/>
          <w:lang w:val="es-ES" w:eastAsia="es-ES"/>
        </w:rPr>
        <w:t>Artículo 2°.</w:t>
      </w:r>
      <w:r w:rsidRPr="001E4FEA">
        <w:rPr>
          <w:rFonts w:ascii="Times New Roman" w:eastAsia="Times New Roman" w:hAnsi="Times New Roman" w:cs="Times New Roman"/>
          <w:color w:val="000000"/>
          <w:kern w:val="0"/>
          <w:sz w:val="24"/>
          <w:szCs w:val="24"/>
          <w:lang w:val="es-ES" w:eastAsia="es-ES"/>
        </w:rPr>
        <w:t>- Comuníquese.</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Sala de Comisión:                        de 2026</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kern w:val="0"/>
          <w:sz w:val="24"/>
          <w:szCs w:val="24"/>
          <w:lang w:val="es-ES" w:eastAsia="es-ES"/>
        </w:rPr>
        <w:br/>
      </w:r>
      <w:r w:rsidRPr="001E4FEA">
        <w:rPr>
          <w:rFonts w:ascii="Times New Roman" w:eastAsia="Times New Roman" w:hAnsi="Times New Roman" w:cs="Times New Roman"/>
          <w:kern w:val="0"/>
          <w:sz w:val="24"/>
          <w:szCs w:val="24"/>
          <w:lang w:val="es-ES" w:eastAsia="es-ES"/>
        </w:rPr>
        <w:br/>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 xml:space="preserve">FREIRE, Victoria </w:t>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t xml:space="preserve">FIGUEROA, </w:t>
      </w:r>
      <w:proofErr w:type="spellStart"/>
      <w:r w:rsidRPr="001E4FEA">
        <w:rPr>
          <w:rFonts w:ascii="Times New Roman" w:eastAsia="Times New Roman" w:hAnsi="Times New Roman" w:cs="Times New Roman"/>
          <w:color w:val="000000"/>
          <w:kern w:val="0"/>
          <w:sz w:val="24"/>
          <w:szCs w:val="24"/>
          <w:lang w:val="es-ES" w:eastAsia="es-ES"/>
        </w:rPr>
        <w:t>Rocio</w:t>
      </w:r>
      <w:proofErr w:type="spellEnd"/>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      Presidenta</w:t>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t>Vicepresidenta 1°</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kern w:val="0"/>
          <w:sz w:val="24"/>
          <w:szCs w:val="24"/>
          <w:lang w:val="es-ES" w:eastAsia="es-ES"/>
        </w:rPr>
        <w:br/>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ERNST Marcelo Gregorio</w:t>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Times New Roman" w:eastAsia="Times New Roman" w:hAnsi="Times New Roman" w:cs="Times New Roman"/>
          <w:color w:val="000000"/>
          <w:kern w:val="0"/>
          <w:sz w:val="24"/>
          <w:szCs w:val="24"/>
          <w:lang w:val="es-ES" w:eastAsia="es-ES"/>
        </w:rPr>
        <w:t>BIELLI, María.</w:t>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      Vicepresidente 2°</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kern w:val="0"/>
          <w:sz w:val="24"/>
          <w:szCs w:val="24"/>
          <w:lang w:val="es-ES" w:eastAsia="es-ES"/>
        </w:rPr>
        <w:br/>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FERNANDEZ, Juan Ignacio</w:t>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Times New Roman" w:eastAsia="Times New Roman" w:hAnsi="Times New Roman" w:cs="Times New Roman"/>
          <w:color w:val="000000"/>
          <w:kern w:val="0"/>
          <w:sz w:val="24"/>
          <w:szCs w:val="24"/>
          <w:lang w:val="es-ES" w:eastAsia="es-ES"/>
        </w:rPr>
        <w:t>ROSSEN, Bárbara</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ALIFRACO, Edgardo Néstor</w:t>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Calibri" w:eastAsia="Times New Roman" w:hAnsi="Calibri" w:cs="Calibri"/>
          <w:color w:val="000000"/>
          <w:kern w:val="0"/>
          <w:sz w:val="28"/>
          <w:lang w:val="es-ES" w:eastAsia="es-ES"/>
        </w:rPr>
        <w:tab/>
      </w:r>
      <w:r w:rsidRPr="001E4FEA">
        <w:rPr>
          <w:rFonts w:ascii="Times New Roman" w:eastAsia="Times New Roman" w:hAnsi="Times New Roman" w:cs="Times New Roman"/>
          <w:color w:val="000000"/>
          <w:kern w:val="0"/>
          <w:sz w:val="24"/>
          <w:szCs w:val="24"/>
          <w:lang w:val="es-ES" w:eastAsia="es-ES"/>
        </w:rPr>
        <w:t>IAÑEZ, Berenice</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NAGATA, Sebastián</w:t>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t>PARERA, Ignacio José</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SALVATIERRA, Alejandro</w:t>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r>
      <w:r w:rsidRPr="001E4FEA">
        <w:rPr>
          <w:rFonts w:ascii="Times New Roman" w:eastAsia="Times New Roman" w:hAnsi="Times New Roman" w:cs="Times New Roman"/>
          <w:color w:val="000000"/>
          <w:kern w:val="0"/>
          <w:sz w:val="24"/>
          <w:szCs w:val="24"/>
          <w:lang w:val="es-ES" w:eastAsia="es-ES"/>
        </w:rPr>
        <w:tab/>
        <w:t>SUAREZ, Guillermo</w:t>
      </w:r>
    </w:p>
    <w:p w:rsidR="001E4FEA" w:rsidRPr="001E4FEA" w:rsidRDefault="001E4FEA" w:rsidP="001E4FEA">
      <w:pPr>
        <w:spacing w:after="240" w:line="240" w:lineRule="auto"/>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kern w:val="0"/>
          <w:sz w:val="24"/>
          <w:szCs w:val="24"/>
          <w:lang w:val="es-ES" w:eastAsia="es-ES"/>
        </w:rPr>
        <w:br/>
      </w:r>
    </w:p>
    <w:p w:rsidR="001E4FEA" w:rsidRPr="001E4FEA" w:rsidRDefault="001E4FEA" w:rsidP="001E4FEA">
      <w:pPr>
        <w:spacing w:after="0" w:line="240" w:lineRule="auto"/>
        <w:ind w:right="-95"/>
        <w:jc w:val="both"/>
        <w:rPr>
          <w:rFonts w:ascii="Times New Roman" w:eastAsia="Times New Roman" w:hAnsi="Times New Roman" w:cs="Times New Roman"/>
          <w:kern w:val="0"/>
          <w:sz w:val="24"/>
          <w:szCs w:val="24"/>
          <w:lang w:val="es-ES" w:eastAsia="es-ES"/>
        </w:rPr>
      </w:pPr>
      <w:r w:rsidRPr="001E4FEA">
        <w:rPr>
          <w:rFonts w:ascii="Times New Roman" w:eastAsia="Times New Roman" w:hAnsi="Times New Roman" w:cs="Times New Roman"/>
          <w:color w:val="000000"/>
          <w:kern w:val="0"/>
          <w:sz w:val="24"/>
          <w:szCs w:val="24"/>
          <w:lang w:val="es-ES" w:eastAsia="es-ES"/>
        </w:rPr>
        <w:t>WOLFF, Waldo</w:t>
      </w:r>
    </w:p>
    <w:p w:rsidR="00AF6364" w:rsidRPr="001E4FEA" w:rsidRDefault="00AF6364" w:rsidP="001E4FEA"/>
    <w:sectPr w:rsidR="00AF6364" w:rsidRPr="001E4FEA"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290" w:rsidRDefault="005E2290" w:rsidP="00AF6364">
      <w:pPr>
        <w:spacing w:after="0" w:line="240" w:lineRule="auto"/>
      </w:pPr>
      <w:r>
        <w:separator/>
      </w:r>
    </w:p>
  </w:endnote>
  <w:endnote w:type="continuationSeparator" w:id="0">
    <w:p w:rsidR="005E2290" w:rsidRDefault="005E229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r w:rsidR="006D2B6B" w:rsidRPr="00487F56">
      <w:rPr>
        <w:sz w:val="20"/>
        <w:szCs w:val="20"/>
      </w:rPr>
      <w:fldChar w:fldCharType="begin"/>
    </w:r>
    <w:r w:rsidR="00487F56" w:rsidRPr="00487F56">
      <w:rPr>
        <w:sz w:val="20"/>
        <w:szCs w:val="20"/>
      </w:rPr>
      <w:instrText xml:space="preserve"> PRINTDATE  \@ "d/M/yyyy HH:mm:ss"  \* MERGEFORMAT </w:instrText>
    </w:r>
    <w:r w:rsidR="006D2B6B" w:rsidRPr="00487F56">
      <w:rPr>
        <w:sz w:val="20"/>
        <w:szCs w:val="20"/>
      </w:rPr>
      <w:fldChar w:fldCharType="separate"/>
    </w:r>
    <w:r w:rsidR="00A27AD2">
      <w:rPr>
        <w:noProof/>
        <w:sz w:val="20"/>
        <w:szCs w:val="20"/>
      </w:rPr>
      <w:t>18/9</w:t>
    </w:r>
    <w:r w:rsidR="00A27AD2">
      <w:rPr>
        <w:noProof/>
        <w:sz w:val="20"/>
        <w:szCs w:val="20"/>
      </w:rPr>
      <w:t>/202</w:t>
    </w:r>
    <w:r w:rsidR="00A27AD2">
      <w:rPr>
        <w:noProof/>
        <w:sz w:val="20"/>
        <w:szCs w:val="20"/>
      </w:rPr>
      <w:t>6 15</w:t>
    </w:r>
    <w:r w:rsidR="00A27AD2">
      <w:rPr>
        <w:noProof/>
        <w:sz w:val="20"/>
        <w:szCs w:val="20"/>
      </w:rPr>
      <w:t>:</w:t>
    </w:r>
    <w:r w:rsidR="00A27AD2">
      <w:rPr>
        <w:noProof/>
        <w:sz w:val="20"/>
        <w:szCs w:val="20"/>
      </w:rPr>
      <w:t>47</w:t>
    </w:r>
    <w:r w:rsidR="00A27AD2">
      <w:rPr>
        <w:noProof/>
        <w:sz w:val="20"/>
        <w:szCs w:val="20"/>
      </w:rPr>
      <w:t>:00</w:t>
    </w:r>
    <w:r w:rsidR="006D2B6B" w:rsidRPr="00487F56">
      <w:rPr>
        <w:sz w:val="20"/>
        <w:szCs w:val="20"/>
      </w:rPr>
      <w:fldChar w:fldCharType="end"/>
    </w:r>
    <w:r w:rsidRPr="001C19C4">
      <w:rPr>
        <w:color w:val="333333"/>
        <w:sz w:val="20"/>
      </w:rPr>
      <w:t xml:space="preserve">  -  Cantidad de caracteres: </w:t>
    </w:r>
    <w:fldSimple w:instr=" NUMCHARS  \* MERGEFORMAT ">
      <w:r w:rsidR="00A27AD2" w:rsidRPr="00A27AD2">
        <w:rPr>
          <w:noProof/>
          <w:color w:val="333333"/>
          <w:sz w:val="20"/>
        </w:rPr>
        <w:t>5999</w:t>
      </w:r>
    </w:fldSimple>
    <w:r w:rsidRPr="001C19C4">
      <w:rPr>
        <w:color w:val="333333"/>
        <w:sz w:val="20"/>
      </w:rPr>
      <w:t xml:space="preserve"> - Cantidad de palabras: </w:t>
    </w:r>
    <w:fldSimple w:instr=" NUMWORDS  \* MERGEFORMAT ">
      <w:r w:rsidR="00A27AD2" w:rsidRPr="00A27AD2">
        <w:rPr>
          <w:noProof/>
          <w:color w:val="333333"/>
          <w:sz w:val="20"/>
        </w:rPr>
        <w:t>1063</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D2B6B" w:rsidRPr="001C19C4">
      <w:rPr>
        <w:rStyle w:val="Nmerodepgina"/>
        <w:color w:val="333333"/>
      </w:rPr>
      <w:fldChar w:fldCharType="begin"/>
    </w:r>
    <w:r w:rsidRPr="001C19C4">
      <w:rPr>
        <w:rStyle w:val="Nmerodepgina"/>
        <w:color w:val="333333"/>
      </w:rPr>
      <w:instrText xml:space="preserve"> PAGE </w:instrText>
    </w:r>
    <w:r w:rsidR="006D2B6B" w:rsidRPr="001C19C4">
      <w:rPr>
        <w:rStyle w:val="Nmerodepgina"/>
        <w:color w:val="333333"/>
      </w:rPr>
      <w:fldChar w:fldCharType="separate"/>
    </w:r>
    <w:r w:rsidR="00A27AD2">
      <w:rPr>
        <w:rStyle w:val="Nmerodepgina"/>
        <w:noProof/>
        <w:color w:val="333333"/>
      </w:rPr>
      <w:t>2</w:t>
    </w:r>
    <w:r w:rsidR="006D2B6B" w:rsidRPr="001C19C4">
      <w:rPr>
        <w:rStyle w:val="Nmerodepgina"/>
        <w:color w:val="333333"/>
      </w:rPr>
      <w:fldChar w:fldCharType="end"/>
    </w:r>
    <w:r w:rsidRPr="001C19C4">
      <w:rPr>
        <w:rStyle w:val="Nmerodepgina"/>
        <w:color w:val="333333"/>
      </w:rPr>
      <w:t>/</w:t>
    </w:r>
    <w:fldSimple w:instr=" NUMPAGES  \* MERGEFORMAT ">
      <w:r w:rsidR="00A27AD2">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290" w:rsidRDefault="005E2290" w:rsidP="00AF6364">
      <w:pPr>
        <w:spacing w:after="0" w:line="240" w:lineRule="auto"/>
      </w:pPr>
      <w:r>
        <w:separator/>
      </w:r>
    </w:p>
  </w:footnote>
  <w:footnote w:type="continuationSeparator" w:id="0">
    <w:p w:rsidR="005E2290" w:rsidRDefault="005E229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2440C"/>
    <w:multiLevelType w:val="multilevel"/>
    <w:tmpl w:val="73B43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674026"/>
    <w:multiLevelType w:val="multilevel"/>
    <w:tmpl w:val="86B444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A9452F"/>
    <w:multiLevelType w:val="hybridMultilevel"/>
    <w:tmpl w:val="06B0E5BE"/>
    <w:lvl w:ilvl="0" w:tplc="5F66427A">
      <w:start w:val="2"/>
      <w:numFmt w:val="lowerLetter"/>
      <w:lvlText w:val="%1."/>
      <w:lvlJc w:val="left"/>
      <w:pPr>
        <w:tabs>
          <w:tab w:val="num" w:pos="720"/>
        </w:tabs>
        <w:ind w:left="720" w:hanging="360"/>
      </w:pPr>
    </w:lvl>
    <w:lvl w:ilvl="1" w:tplc="5F66427A">
      <w:start w:val="2"/>
      <w:numFmt w:val="lowerLetter"/>
      <w:lvlText w:val="%2."/>
      <w:lvlJc w:val="left"/>
      <w:pPr>
        <w:tabs>
          <w:tab w:val="num" w:pos="1440"/>
        </w:tabs>
        <w:ind w:left="1440" w:hanging="360"/>
      </w:pPr>
    </w:lvl>
    <w:lvl w:ilvl="2" w:tplc="6D62E5CE">
      <w:start w:val="1"/>
      <w:numFmt w:val="decimal"/>
      <w:lvlText w:val="%3."/>
      <w:lvlJc w:val="left"/>
      <w:pPr>
        <w:tabs>
          <w:tab w:val="num" w:pos="2160"/>
        </w:tabs>
        <w:ind w:left="2160" w:hanging="360"/>
      </w:pPr>
    </w:lvl>
    <w:lvl w:ilvl="3" w:tplc="B4DC112C" w:tentative="1">
      <w:start w:val="1"/>
      <w:numFmt w:val="decimal"/>
      <w:lvlText w:val="%4."/>
      <w:lvlJc w:val="left"/>
      <w:pPr>
        <w:tabs>
          <w:tab w:val="num" w:pos="2880"/>
        </w:tabs>
        <w:ind w:left="2880" w:hanging="360"/>
      </w:pPr>
    </w:lvl>
    <w:lvl w:ilvl="4" w:tplc="0A2CA5C2" w:tentative="1">
      <w:start w:val="1"/>
      <w:numFmt w:val="decimal"/>
      <w:lvlText w:val="%5."/>
      <w:lvlJc w:val="left"/>
      <w:pPr>
        <w:tabs>
          <w:tab w:val="num" w:pos="3600"/>
        </w:tabs>
        <w:ind w:left="3600" w:hanging="360"/>
      </w:pPr>
    </w:lvl>
    <w:lvl w:ilvl="5" w:tplc="90882656" w:tentative="1">
      <w:start w:val="1"/>
      <w:numFmt w:val="decimal"/>
      <w:lvlText w:val="%6."/>
      <w:lvlJc w:val="left"/>
      <w:pPr>
        <w:tabs>
          <w:tab w:val="num" w:pos="4320"/>
        </w:tabs>
        <w:ind w:left="4320" w:hanging="360"/>
      </w:pPr>
    </w:lvl>
    <w:lvl w:ilvl="6" w:tplc="FA424AAA" w:tentative="1">
      <w:start w:val="1"/>
      <w:numFmt w:val="decimal"/>
      <w:lvlText w:val="%7."/>
      <w:lvlJc w:val="left"/>
      <w:pPr>
        <w:tabs>
          <w:tab w:val="num" w:pos="5040"/>
        </w:tabs>
        <w:ind w:left="5040" w:hanging="360"/>
      </w:pPr>
    </w:lvl>
    <w:lvl w:ilvl="7" w:tplc="DCAEAC94" w:tentative="1">
      <w:start w:val="1"/>
      <w:numFmt w:val="decimal"/>
      <w:lvlText w:val="%8."/>
      <w:lvlJc w:val="left"/>
      <w:pPr>
        <w:tabs>
          <w:tab w:val="num" w:pos="5760"/>
        </w:tabs>
        <w:ind w:left="5760" w:hanging="360"/>
      </w:pPr>
    </w:lvl>
    <w:lvl w:ilvl="8" w:tplc="1EFC07CE" w:tentative="1">
      <w:start w:val="1"/>
      <w:numFmt w:val="decimal"/>
      <w:lvlText w:val="%9."/>
      <w:lvlJc w:val="left"/>
      <w:pPr>
        <w:tabs>
          <w:tab w:val="num" w:pos="6480"/>
        </w:tabs>
        <w:ind w:left="6480" w:hanging="360"/>
      </w:pPr>
    </w:lvl>
  </w:abstractNum>
  <w:abstractNum w:abstractNumId="3">
    <w:nsid w:val="121438A2"/>
    <w:multiLevelType w:val="hybridMultilevel"/>
    <w:tmpl w:val="A9C454B4"/>
    <w:lvl w:ilvl="0" w:tplc="0C0A0019">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7717DC2"/>
    <w:multiLevelType w:val="multilevel"/>
    <w:tmpl w:val="82E87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830455"/>
    <w:multiLevelType w:val="multilevel"/>
    <w:tmpl w:val="960EF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6B37452"/>
    <w:multiLevelType w:val="multilevel"/>
    <w:tmpl w:val="5A40D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2A25F7F"/>
    <w:multiLevelType w:val="hybridMultilevel"/>
    <w:tmpl w:val="A5B6BE74"/>
    <w:lvl w:ilvl="0" w:tplc="0C0A0019">
      <w:start w:val="1"/>
      <w:numFmt w:val="lowerLetter"/>
      <w:lvlText w:val="%1."/>
      <w:lvlJc w:val="left"/>
      <w:pPr>
        <w:ind w:left="720" w:hanging="360"/>
      </w:pPr>
      <w:rPr>
        <w:rFonts w:hint="default"/>
      </w:rPr>
    </w:lvl>
    <w:lvl w:ilvl="1" w:tplc="AC6C46E0">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7B4568D9"/>
    <w:multiLevelType w:val="multilevel"/>
    <w:tmpl w:val="219A9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lvl w:ilvl="0">
        <w:numFmt w:val="lowerLetter"/>
        <w:lvlText w:val="%1."/>
        <w:lvlJc w:val="left"/>
      </w:lvl>
    </w:lvlOverride>
  </w:num>
  <w:num w:numId="2">
    <w:abstractNumId w:val="0"/>
    <w:lvlOverride w:ilvl="0">
      <w:lvl w:ilvl="0">
        <w:numFmt w:val="lowerLetter"/>
        <w:lvlText w:val="%1."/>
        <w:lvlJc w:val="left"/>
      </w:lvl>
    </w:lvlOverride>
  </w:num>
  <w:num w:numId="3">
    <w:abstractNumId w:val="2"/>
  </w:num>
  <w:num w:numId="4">
    <w:abstractNumId w:val="2"/>
    <w:lvlOverride w:ilvl="1">
      <w:lvl w:ilvl="1" w:tplc="5F66427A">
        <w:numFmt w:val="lowerLetter"/>
        <w:lvlText w:val="%2."/>
        <w:lvlJc w:val="left"/>
      </w:lvl>
    </w:lvlOverride>
  </w:num>
  <w:num w:numId="5">
    <w:abstractNumId w:val="2"/>
    <w:lvlOverride w:ilvl="0">
      <w:lvl w:ilvl="0" w:tplc="5F66427A">
        <w:numFmt w:val="lowerLetter"/>
        <w:lvlText w:val="%1."/>
        <w:lvlJc w:val="left"/>
      </w:lvl>
    </w:lvlOverride>
    <w:lvlOverride w:ilvl="1">
      <w:lvl w:ilvl="1" w:tplc="5F66427A">
        <w:numFmt w:val="lowerLetter"/>
        <w:lvlText w:val="%2."/>
        <w:lvlJc w:val="left"/>
      </w:lvl>
    </w:lvlOverride>
  </w:num>
  <w:num w:numId="6">
    <w:abstractNumId w:val="2"/>
    <w:lvlOverride w:ilvl="0">
      <w:lvl w:ilvl="0" w:tplc="5F66427A">
        <w:numFmt w:val="lowerLetter"/>
        <w:lvlText w:val="%1."/>
        <w:lvlJc w:val="left"/>
      </w:lvl>
    </w:lvlOverride>
    <w:lvlOverride w:ilvl="1">
      <w:lvl w:ilvl="1" w:tplc="5F66427A">
        <w:numFmt w:val="lowerLetter"/>
        <w:lvlText w:val="%2."/>
        <w:lvlJc w:val="left"/>
      </w:lvl>
    </w:lvlOverride>
  </w:num>
  <w:num w:numId="7">
    <w:abstractNumId w:val="2"/>
    <w:lvlOverride w:ilvl="0">
      <w:lvl w:ilvl="0" w:tplc="5F66427A">
        <w:numFmt w:val="lowerLetter"/>
        <w:lvlText w:val="%1."/>
        <w:lvlJc w:val="left"/>
      </w:lvl>
    </w:lvlOverride>
    <w:lvlOverride w:ilvl="1">
      <w:lvl w:ilvl="1" w:tplc="5F66427A">
        <w:numFmt w:val="lowerLetter"/>
        <w:lvlText w:val="%2."/>
        <w:lvlJc w:val="left"/>
      </w:lvl>
    </w:lvlOverride>
  </w:num>
  <w:num w:numId="8">
    <w:abstractNumId w:val="2"/>
    <w:lvlOverride w:ilvl="0">
      <w:lvl w:ilvl="0" w:tplc="5F66427A">
        <w:numFmt w:val="lowerLetter"/>
        <w:lvlText w:val="%1."/>
        <w:lvlJc w:val="left"/>
      </w:lvl>
    </w:lvlOverride>
    <w:lvlOverride w:ilvl="1">
      <w:lvl w:ilvl="1" w:tplc="5F66427A">
        <w:numFmt w:val="lowerLetter"/>
        <w:lvlText w:val="%2."/>
        <w:lvlJc w:val="left"/>
      </w:lvl>
    </w:lvlOverride>
  </w:num>
  <w:num w:numId="9">
    <w:abstractNumId w:val="2"/>
    <w:lvlOverride w:ilvl="0">
      <w:lvl w:ilvl="0" w:tplc="5F66427A">
        <w:numFmt w:val="lowerLetter"/>
        <w:lvlText w:val="%1."/>
        <w:lvlJc w:val="left"/>
      </w:lvl>
    </w:lvlOverride>
    <w:lvlOverride w:ilvl="1">
      <w:lvl w:ilvl="1" w:tplc="5F66427A">
        <w:numFmt w:val="lowerLetter"/>
        <w:lvlText w:val="%2."/>
        <w:lvlJc w:val="left"/>
      </w:lvl>
    </w:lvlOverride>
  </w:num>
  <w:num w:numId="10">
    <w:abstractNumId w:val="2"/>
    <w:lvlOverride w:ilvl="0">
      <w:lvl w:ilvl="0" w:tplc="5F66427A">
        <w:numFmt w:val="lowerLetter"/>
        <w:lvlText w:val="%1."/>
        <w:lvlJc w:val="left"/>
      </w:lvl>
    </w:lvlOverride>
    <w:lvlOverride w:ilvl="1">
      <w:lvl w:ilvl="1" w:tplc="5F66427A">
        <w:numFmt w:val="lowerLetter"/>
        <w:lvlText w:val="%2."/>
        <w:lvlJc w:val="left"/>
      </w:lvl>
    </w:lvlOverride>
  </w:num>
  <w:num w:numId="11">
    <w:abstractNumId w:val="2"/>
    <w:lvlOverride w:ilvl="0">
      <w:lvl w:ilvl="0" w:tplc="5F66427A">
        <w:numFmt w:val="lowerLetter"/>
        <w:lvlText w:val="%1."/>
        <w:lvlJc w:val="left"/>
      </w:lvl>
    </w:lvlOverride>
    <w:lvlOverride w:ilvl="1">
      <w:lvl w:ilvl="1" w:tplc="5F66427A">
        <w:numFmt w:val="lowerLetter"/>
        <w:lvlText w:val="%2."/>
        <w:lvlJc w:val="left"/>
      </w:lvl>
    </w:lvlOverride>
  </w:num>
  <w:num w:numId="12">
    <w:abstractNumId w:val="2"/>
    <w:lvlOverride w:ilvl="0">
      <w:lvl w:ilvl="0" w:tplc="5F66427A">
        <w:numFmt w:val="lowerLetter"/>
        <w:lvlText w:val="%1."/>
        <w:lvlJc w:val="left"/>
      </w:lvl>
    </w:lvlOverride>
    <w:lvlOverride w:ilvl="1">
      <w:lvl w:ilvl="1" w:tplc="5F66427A">
        <w:numFmt w:val="lowerLetter"/>
        <w:lvlText w:val="%2."/>
        <w:lvlJc w:val="left"/>
      </w:lvl>
    </w:lvlOverride>
  </w:num>
  <w:num w:numId="13">
    <w:abstractNumId w:val="1"/>
    <w:lvlOverride w:ilvl="0">
      <w:lvl w:ilvl="0">
        <w:numFmt w:val="lowerLetter"/>
        <w:lvlText w:val="%1."/>
        <w:lvlJc w:val="left"/>
      </w:lvl>
    </w:lvlOverride>
  </w:num>
  <w:num w:numId="14">
    <w:abstractNumId w:val="1"/>
    <w:lvlOverride w:ilvl="0">
      <w:lvl w:ilvl="0">
        <w:start w:val="1"/>
        <w:numFmt w:val="decimal"/>
        <w:lvlText w:val="%1."/>
        <w:lvlJc w:val="left"/>
        <w:pPr>
          <w:ind w:left="1800" w:hanging="360"/>
        </w:pPr>
      </w:lvl>
    </w:lvlOverride>
    <w:lvlOverride w:ilvl="1">
      <w:lvl w:ilvl="1">
        <w:start w:val="1"/>
        <w:numFmt w:val="lowerLetter"/>
        <w:lvlText w:val="%2."/>
        <w:lvlJc w:val="left"/>
        <w:pPr>
          <w:ind w:left="2520" w:hanging="360"/>
        </w:pPr>
      </w:lvl>
    </w:lvlOverride>
    <w:lvlOverride w:ilvl="2">
      <w:lvl w:ilvl="2" w:tentative="1">
        <w:start w:val="1"/>
        <w:numFmt w:val="lowerRoman"/>
        <w:lvlText w:val="%3."/>
        <w:lvlJc w:val="right"/>
        <w:pPr>
          <w:ind w:left="3240" w:hanging="180"/>
        </w:pPr>
      </w:lvl>
    </w:lvlOverride>
    <w:lvlOverride w:ilvl="3">
      <w:lvl w:ilvl="3" w:tentative="1">
        <w:start w:val="1"/>
        <w:numFmt w:val="decimal"/>
        <w:lvlText w:val="%4."/>
        <w:lvlJc w:val="left"/>
        <w:pPr>
          <w:ind w:left="3960" w:hanging="360"/>
        </w:pPr>
      </w:lvl>
    </w:lvlOverride>
    <w:lvlOverride w:ilvl="4">
      <w:lvl w:ilvl="4" w:tentative="1">
        <w:start w:val="1"/>
        <w:numFmt w:val="lowerLetter"/>
        <w:lvlText w:val="%5."/>
        <w:lvlJc w:val="left"/>
        <w:pPr>
          <w:ind w:left="4680" w:hanging="360"/>
        </w:pPr>
      </w:lvl>
    </w:lvlOverride>
    <w:lvlOverride w:ilvl="5">
      <w:lvl w:ilvl="5" w:tentative="1">
        <w:start w:val="1"/>
        <w:numFmt w:val="lowerRoman"/>
        <w:lvlText w:val="%6."/>
        <w:lvlJc w:val="right"/>
        <w:pPr>
          <w:ind w:left="5400" w:hanging="180"/>
        </w:pPr>
      </w:lvl>
    </w:lvlOverride>
    <w:lvlOverride w:ilvl="6">
      <w:lvl w:ilvl="6" w:tentative="1">
        <w:start w:val="1"/>
        <w:numFmt w:val="decimal"/>
        <w:lvlText w:val="%7."/>
        <w:lvlJc w:val="left"/>
        <w:pPr>
          <w:ind w:left="6120" w:hanging="360"/>
        </w:pPr>
      </w:lvl>
    </w:lvlOverride>
    <w:lvlOverride w:ilvl="7">
      <w:lvl w:ilvl="7" w:tentative="1">
        <w:start w:val="1"/>
        <w:numFmt w:val="lowerLetter"/>
        <w:lvlText w:val="%8."/>
        <w:lvlJc w:val="left"/>
        <w:pPr>
          <w:ind w:left="6840" w:hanging="360"/>
        </w:pPr>
      </w:lvl>
    </w:lvlOverride>
    <w:lvlOverride w:ilvl="8">
      <w:lvl w:ilvl="8" w:tentative="1">
        <w:start w:val="1"/>
        <w:numFmt w:val="lowerRoman"/>
        <w:lvlText w:val="%9."/>
        <w:lvlJc w:val="right"/>
        <w:pPr>
          <w:ind w:left="7560" w:hanging="180"/>
        </w:pPr>
      </w:lvl>
    </w:lvlOverride>
  </w:num>
  <w:num w:numId="15">
    <w:abstractNumId w:val="7"/>
  </w:num>
  <w:num w:numId="16">
    <w:abstractNumId w:val="3"/>
  </w:num>
  <w:num w:numId="17">
    <w:abstractNumId w:val="4"/>
  </w:num>
  <w:num w:numId="18">
    <w:abstractNumId w:val="8"/>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49209C"/>
    <w:rsid w:val="000425FE"/>
    <w:rsid w:val="001321D0"/>
    <w:rsid w:val="001E4FEA"/>
    <w:rsid w:val="00257181"/>
    <w:rsid w:val="002B0876"/>
    <w:rsid w:val="002D4F5E"/>
    <w:rsid w:val="003E013A"/>
    <w:rsid w:val="00425C91"/>
    <w:rsid w:val="00476D68"/>
    <w:rsid w:val="00487F56"/>
    <w:rsid w:val="0049209C"/>
    <w:rsid w:val="004F14B4"/>
    <w:rsid w:val="00597CD1"/>
    <w:rsid w:val="005E2290"/>
    <w:rsid w:val="00646C3C"/>
    <w:rsid w:val="0067421C"/>
    <w:rsid w:val="006A0EE0"/>
    <w:rsid w:val="006D1BAF"/>
    <w:rsid w:val="006D2B6B"/>
    <w:rsid w:val="006E4861"/>
    <w:rsid w:val="0072782F"/>
    <w:rsid w:val="00746F04"/>
    <w:rsid w:val="00785CAD"/>
    <w:rsid w:val="0079312E"/>
    <w:rsid w:val="007D5575"/>
    <w:rsid w:val="00813615"/>
    <w:rsid w:val="0081386C"/>
    <w:rsid w:val="00842249"/>
    <w:rsid w:val="00887FEC"/>
    <w:rsid w:val="008B69DA"/>
    <w:rsid w:val="00961531"/>
    <w:rsid w:val="009A4135"/>
    <w:rsid w:val="009F1CC9"/>
    <w:rsid w:val="00A27AD2"/>
    <w:rsid w:val="00AF3B91"/>
    <w:rsid w:val="00AF6364"/>
    <w:rsid w:val="00B24DD0"/>
    <w:rsid w:val="00C33CB5"/>
    <w:rsid w:val="00C60B5C"/>
    <w:rsid w:val="00CE1C48"/>
    <w:rsid w:val="00DA6887"/>
    <w:rsid w:val="00DB479F"/>
    <w:rsid w:val="00E06C24"/>
    <w:rsid w:val="00F47AFC"/>
    <w:rsid w:val="00F8587A"/>
    <w:rsid w:val="00FC1F1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B6B"/>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semiHidden/>
    <w:unhideWhenUsed/>
    <w:rsid w:val="0049209C"/>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customStyle="1" w:styleId="apple-tab-span">
    <w:name w:val="apple-tab-span"/>
    <w:basedOn w:val="Fuentedeprrafopredeter"/>
    <w:rsid w:val="0049209C"/>
  </w:style>
</w:styles>
</file>

<file path=word/webSettings.xml><?xml version="1.0" encoding="utf-8"?>
<w:webSettings xmlns:r="http://schemas.openxmlformats.org/officeDocument/2006/relationships" xmlns:w="http://schemas.openxmlformats.org/wordprocessingml/2006/main">
  <w:divs>
    <w:div w:id="378943964">
      <w:bodyDiv w:val="1"/>
      <w:marLeft w:val="0"/>
      <w:marRight w:val="0"/>
      <w:marTop w:val="0"/>
      <w:marBottom w:val="0"/>
      <w:divBdr>
        <w:top w:val="none" w:sz="0" w:space="0" w:color="auto"/>
        <w:left w:val="none" w:sz="0" w:space="0" w:color="auto"/>
        <w:bottom w:val="none" w:sz="0" w:space="0" w:color="auto"/>
        <w:right w:val="none" w:sz="0" w:space="0" w:color="auto"/>
      </w:divBdr>
    </w:div>
    <w:div w:id="494734405">
      <w:bodyDiv w:val="1"/>
      <w:marLeft w:val="0"/>
      <w:marRight w:val="0"/>
      <w:marTop w:val="0"/>
      <w:marBottom w:val="0"/>
      <w:divBdr>
        <w:top w:val="none" w:sz="0" w:space="0" w:color="auto"/>
        <w:left w:val="none" w:sz="0" w:space="0" w:color="auto"/>
        <w:bottom w:val="none" w:sz="0" w:space="0" w:color="auto"/>
        <w:right w:val="none" w:sz="0" w:space="0" w:color="auto"/>
      </w:divBdr>
    </w:div>
    <w:div w:id="840584887">
      <w:bodyDiv w:val="1"/>
      <w:marLeft w:val="0"/>
      <w:marRight w:val="0"/>
      <w:marTop w:val="0"/>
      <w:marBottom w:val="0"/>
      <w:divBdr>
        <w:top w:val="none" w:sz="0" w:space="0" w:color="auto"/>
        <w:left w:val="none" w:sz="0" w:space="0" w:color="auto"/>
        <w:bottom w:val="none" w:sz="0" w:space="0" w:color="auto"/>
        <w:right w:val="none" w:sz="0" w:space="0" w:color="auto"/>
      </w:divBdr>
    </w:div>
    <w:div w:id="1259216799">
      <w:bodyDiv w:val="1"/>
      <w:marLeft w:val="0"/>
      <w:marRight w:val="0"/>
      <w:marTop w:val="0"/>
      <w:marBottom w:val="0"/>
      <w:divBdr>
        <w:top w:val="none" w:sz="0" w:space="0" w:color="auto"/>
        <w:left w:val="none" w:sz="0" w:space="0" w:color="auto"/>
        <w:bottom w:val="none" w:sz="0" w:space="0" w:color="auto"/>
        <w:right w:val="none" w:sz="0" w:space="0" w:color="auto"/>
      </w:divBdr>
    </w:div>
    <w:div w:id="1539273004">
      <w:bodyDiv w:val="1"/>
      <w:marLeft w:val="0"/>
      <w:marRight w:val="0"/>
      <w:marTop w:val="0"/>
      <w:marBottom w:val="0"/>
      <w:divBdr>
        <w:top w:val="none" w:sz="0" w:space="0" w:color="auto"/>
        <w:left w:val="none" w:sz="0" w:space="0" w:color="auto"/>
        <w:bottom w:val="none" w:sz="0" w:space="0" w:color="auto"/>
        <w:right w:val="none" w:sz="0" w:space="0" w:color="auto"/>
      </w:divBdr>
    </w:div>
    <w:div w:id="1627613357">
      <w:bodyDiv w:val="1"/>
      <w:marLeft w:val="0"/>
      <w:marRight w:val="0"/>
      <w:marTop w:val="0"/>
      <w:marBottom w:val="0"/>
      <w:divBdr>
        <w:top w:val="none" w:sz="0" w:space="0" w:color="auto"/>
        <w:left w:val="none" w:sz="0" w:space="0" w:color="auto"/>
        <w:bottom w:val="none" w:sz="0" w:space="0" w:color="auto"/>
        <w:right w:val="none" w:sz="0" w:space="0" w:color="auto"/>
      </w:divBdr>
    </w:div>
    <w:div w:id="1638026528">
      <w:bodyDiv w:val="1"/>
      <w:marLeft w:val="0"/>
      <w:marRight w:val="0"/>
      <w:marTop w:val="0"/>
      <w:marBottom w:val="0"/>
      <w:divBdr>
        <w:top w:val="none" w:sz="0" w:space="0" w:color="auto"/>
        <w:left w:val="none" w:sz="0" w:space="0" w:color="auto"/>
        <w:bottom w:val="none" w:sz="0" w:space="0" w:color="auto"/>
        <w:right w:val="none" w:sz="0" w:space="0" w:color="auto"/>
      </w:divBdr>
    </w:div>
    <w:div w:id="191647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carunchio\Downloads\e7b58d1b-eea4-4404-923e-d5fc4fc6863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e7b58d1b-eea4-4404-923e-d5fc4fc68631</Template>
  <TotalTime>2</TotalTime>
  <Pages>3</Pages>
  <Words>1063</Words>
  <Characters>5999</Characters>
  <Application>Microsoft Office Word</Application>
  <DocSecurity>0</DocSecurity>
  <Lines>133</Lines>
  <Paragraphs>41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7133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jucarunchio</dc:creator>
  <cp:lastModifiedBy>jucarunchio</cp:lastModifiedBy>
  <cp:revision>4</cp:revision>
  <cp:lastPrinted>2024-04-06T03:02:00Z</cp:lastPrinted>
  <dcterms:created xsi:type="dcterms:W3CDTF">2026-09-18T18:46:00Z</dcterms:created>
  <dcterms:modified xsi:type="dcterms:W3CDTF">2026-09-18T18:48:00Z</dcterms:modified>
</cp:coreProperties>
</file>