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Legislatura de la Ciudad Autónoma de Buenos Aires</w:t>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kern w:val="0"/>
          <w:sz w:val="24"/>
          <w:szCs w:val="24"/>
          <w:lang w:val="es-ES" w:eastAsia="es-ES"/>
        </w:rPr>
        <w:br/>
      </w: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Visto: </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                                      Que en el Expediente Nº 2609-D-2026 proyecto de Resolución de autoría de los Diputados, Freire Victoria y </w:t>
      </w:r>
      <w:proofErr w:type="spellStart"/>
      <w:r w:rsidRPr="00E30FA5">
        <w:rPr>
          <w:rFonts w:ascii="Times New Roman" w:eastAsia="Times New Roman" w:hAnsi="Times New Roman" w:cs="Times New Roman"/>
          <w:color w:val="000000"/>
          <w:kern w:val="0"/>
          <w:sz w:val="24"/>
          <w:szCs w:val="24"/>
          <w:lang w:val="es-ES" w:eastAsia="es-ES"/>
        </w:rPr>
        <w:t>Rossen</w:t>
      </w:r>
      <w:proofErr w:type="spellEnd"/>
      <w:r w:rsidRPr="00E30FA5">
        <w:rPr>
          <w:rFonts w:ascii="Times New Roman" w:eastAsia="Times New Roman" w:hAnsi="Times New Roman" w:cs="Times New Roman"/>
          <w:color w:val="000000"/>
          <w:kern w:val="0"/>
          <w:sz w:val="24"/>
          <w:szCs w:val="24"/>
          <w:lang w:val="es-ES" w:eastAsia="es-ES"/>
        </w:rPr>
        <w:t xml:space="preserve">, </w:t>
      </w:r>
      <w:proofErr w:type="spellStart"/>
      <w:r w:rsidRPr="00E30FA5">
        <w:rPr>
          <w:rFonts w:ascii="Times New Roman" w:eastAsia="Times New Roman" w:hAnsi="Times New Roman" w:cs="Times New Roman"/>
          <w:color w:val="000000"/>
          <w:kern w:val="0"/>
          <w:sz w:val="24"/>
          <w:szCs w:val="24"/>
          <w:lang w:val="es-ES" w:eastAsia="es-ES"/>
        </w:rPr>
        <w:t>Barbara</w:t>
      </w:r>
      <w:proofErr w:type="spellEnd"/>
      <w:r w:rsidRPr="00E30FA5">
        <w:rPr>
          <w:rFonts w:ascii="Times New Roman" w:eastAsia="Times New Roman" w:hAnsi="Times New Roman" w:cs="Times New Roman"/>
          <w:color w:val="000000"/>
          <w:kern w:val="0"/>
          <w:sz w:val="24"/>
          <w:szCs w:val="24"/>
          <w:lang w:val="es-ES" w:eastAsia="es-ES"/>
        </w:rPr>
        <w:t>, quienes solicitan informes referidos a conjuntos habitacionales de la Ciudad Autónoma de Buenos Aires, y</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Considerando: </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Que los conjuntos habitacionales constituyen una herramienta fundamental de la política habitacional destinada a garantizar el acceso a una vivienda adecuada para miles de familias de la Ciudad Autónoma de Buenos Aires. Sin embargo, la responsabilidad estatal en esta materia no se agota con la construcción y adjudicación de las viviendas, sino que comprende también su mantenimiento, conservación, mejora permanente y gestión integral, a fin de preservar condiciones adecuadas de habitabilidad a lo largo del tiempo.</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Que los dieciocho conjuntos habitacionales comprendidos en el presente proyecto representan realidades diversas. El motivo de este pedido de informes es, en parte, conocer si existen casos de deterioro edilicio, falta de mantenimiento preventivo y correctivo, deficiencias en las instalaciones sanitarias, eléctricas y pluviales, filtraciones, problemas de accesibilidad, deterioro de los espacios comunes, dificultades vinculadas a la prestación de servicios, situaciones pendientes de regularización </w:t>
      </w:r>
      <w:proofErr w:type="spellStart"/>
      <w:r w:rsidRPr="00E30FA5">
        <w:rPr>
          <w:rFonts w:ascii="Times New Roman" w:eastAsia="Times New Roman" w:hAnsi="Times New Roman" w:cs="Times New Roman"/>
          <w:color w:val="000000"/>
          <w:kern w:val="0"/>
          <w:sz w:val="24"/>
          <w:szCs w:val="24"/>
          <w:lang w:val="es-ES" w:eastAsia="es-ES"/>
        </w:rPr>
        <w:t>dominial</w:t>
      </w:r>
      <w:proofErr w:type="spellEnd"/>
      <w:r w:rsidRPr="00E30FA5">
        <w:rPr>
          <w:rFonts w:ascii="Times New Roman" w:eastAsia="Times New Roman" w:hAnsi="Times New Roman" w:cs="Times New Roman"/>
          <w:color w:val="000000"/>
          <w:kern w:val="0"/>
          <w:sz w:val="24"/>
          <w:szCs w:val="24"/>
          <w:lang w:val="es-ES" w:eastAsia="es-ES"/>
        </w:rPr>
        <w:t xml:space="preserve"> y la insuficiente intervención estatal para garantizar condiciones adecuadas de conservación.</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Que estas situaciones, de verificarse, podrían dar cuenta de la necesidad de fortalecer las políticas públicas destinadas al mantenimiento y la gestión de los conjuntos habitacionales, en el marco de una concepción de la política habitacional que no se limite exclusivamente a la provisión inicial de viviendas. Garantizar el derecho a una vivienda adecuada supone también atender a que los inmuebles y los espacios comunes se mantengan en condiciones dignas, seguras y funcionales a lo largo de su vida útil.</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Que asimismo, resulta indispensable promover una gestión habitacional que incorpore mecanismos de planificación, seguimiento y participación de la comunidad, contemplando no solo las condiciones materiales de los edificios, sino también las dimensiones sociales, urbanas y comunitarias que hacen al desarrollo de los barrios y al fortalecimiento del tejido social.</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Que el acceso a información pública actualizada resulta relevante. Contar con datos sobre el estado de conservación de cada conjunto habitacional, las intervenciones realizadas, los planes de mantenimiento existentes, las obras proyectadas, la situación </w:t>
      </w:r>
      <w:proofErr w:type="spellStart"/>
      <w:r w:rsidRPr="00E30FA5">
        <w:rPr>
          <w:rFonts w:ascii="Times New Roman" w:eastAsia="Times New Roman" w:hAnsi="Times New Roman" w:cs="Times New Roman"/>
          <w:color w:val="000000"/>
          <w:kern w:val="0"/>
          <w:sz w:val="24"/>
          <w:szCs w:val="24"/>
          <w:lang w:val="es-ES" w:eastAsia="es-ES"/>
        </w:rPr>
        <w:t>dominial</w:t>
      </w:r>
      <w:proofErr w:type="spellEnd"/>
      <w:r w:rsidRPr="00E30FA5">
        <w:rPr>
          <w:rFonts w:ascii="Times New Roman" w:eastAsia="Times New Roman" w:hAnsi="Times New Roman" w:cs="Times New Roman"/>
          <w:color w:val="000000"/>
          <w:kern w:val="0"/>
          <w:sz w:val="24"/>
          <w:szCs w:val="24"/>
          <w:lang w:val="es-ES" w:eastAsia="es-ES"/>
        </w:rPr>
        <w:t>, las condiciones de acceso a los servicios y los recursos presupuestarios asignados permitiría evaluar el cumplimiento de las obligaciones del Estado, identificar eventuales prioridades de intervención y fortalecer los mecanismos de transparencia y control ciudadano.</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Que la integración urbana de estos complejos requiere una intervención estatal sostenida, planificada y basada en información confiable, que permita garantizar no solo la conservación del patrimonio habitacional existente, sino también el pleno ejercicio del derecho a una vivienda adecuada y a un hábitat digno para todas las familias que allí residen.</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firstLine="720"/>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Que en virtud de lo expuesto, resulta necesario requerir al Poder Ejecutivo información detallada respecto de la situación de los dieciocho conjuntos habitacionales comprendidos en el presente proyecto, a fin de conocer el estado de conservación de sus edificios e infraestructura, las intervenciones realizadas y previstas, los programas de mantenimiento implementados, la situación </w:t>
      </w:r>
      <w:proofErr w:type="spellStart"/>
      <w:r w:rsidRPr="00E30FA5">
        <w:rPr>
          <w:rFonts w:ascii="Times New Roman" w:eastAsia="Times New Roman" w:hAnsi="Times New Roman" w:cs="Times New Roman"/>
          <w:color w:val="000000"/>
          <w:kern w:val="0"/>
          <w:sz w:val="24"/>
          <w:szCs w:val="24"/>
          <w:lang w:val="es-ES" w:eastAsia="es-ES"/>
        </w:rPr>
        <w:t>dominial</w:t>
      </w:r>
      <w:proofErr w:type="spellEnd"/>
      <w:r w:rsidRPr="00E30FA5">
        <w:rPr>
          <w:rFonts w:ascii="Times New Roman" w:eastAsia="Times New Roman" w:hAnsi="Times New Roman" w:cs="Times New Roman"/>
          <w:color w:val="000000"/>
          <w:kern w:val="0"/>
          <w:sz w:val="24"/>
          <w:szCs w:val="24"/>
          <w:lang w:val="es-ES" w:eastAsia="es-ES"/>
        </w:rPr>
        <w:t>, la ejecución presupuestaria y las acciones desarrolladas para garantizar condiciones adecuadas de habitabilidad.</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left="720"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Por lo expuesto, esta Comisión de Vivienda aconseja la aprobación de la</w:t>
      </w: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E30FA5">
        <w:rPr>
          <w:rFonts w:ascii="Times New Roman" w:eastAsia="Times New Roman" w:hAnsi="Times New Roman" w:cs="Times New Roman"/>
          <w:color w:val="000000"/>
          <w:kern w:val="0"/>
          <w:sz w:val="24"/>
          <w:szCs w:val="24"/>
          <w:lang w:val="es-ES" w:eastAsia="es-ES"/>
        </w:rPr>
        <w:t>siguiente</w:t>
      </w:r>
      <w:proofErr w:type="gramEnd"/>
      <w:r w:rsidRPr="00E30FA5">
        <w:rPr>
          <w:rFonts w:ascii="Times New Roman" w:eastAsia="Times New Roman" w:hAnsi="Times New Roman" w:cs="Times New Roman"/>
          <w:color w:val="000000"/>
          <w:kern w:val="0"/>
          <w:sz w:val="24"/>
          <w:szCs w:val="24"/>
          <w:lang w:val="es-ES" w:eastAsia="es-ES"/>
        </w:rPr>
        <w:t>:</w:t>
      </w:r>
    </w:p>
    <w:p w:rsidR="00E30FA5" w:rsidRPr="00E30FA5" w:rsidRDefault="00E30FA5" w:rsidP="00E30FA5">
      <w:pPr>
        <w:spacing w:after="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center"/>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b/>
          <w:bCs/>
          <w:color w:val="000000"/>
          <w:kern w:val="0"/>
          <w:sz w:val="24"/>
          <w:szCs w:val="24"/>
          <w:lang w:val="es-ES" w:eastAsia="es-ES"/>
        </w:rPr>
        <w:t>RESOLUCIÓN</w:t>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b/>
          <w:bCs/>
          <w:color w:val="000000"/>
          <w:kern w:val="0"/>
          <w:sz w:val="24"/>
          <w:szCs w:val="24"/>
          <w:lang w:val="es-ES" w:eastAsia="es-ES"/>
        </w:rPr>
        <w:t xml:space="preserve">Artículo 1°.- </w:t>
      </w:r>
      <w:r w:rsidRPr="00E30FA5">
        <w:rPr>
          <w:rFonts w:ascii="Times New Roman" w:eastAsia="Times New Roman" w:hAnsi="Times New Roman" w:cs="Times New Roman"/>
          <w:color w:val="000000"/>
          <w:kern w:val="0"/>
          <w:sz w:val="24"/>
          <w:szCs w:val="24"/>
          <w:lang w:val="es-ES" w:eastAsia="es-ES"/>
        </w:rPr>
        <w:t xml:space="preserve">El Poder Ejecutivo informará, a través de los organismos correspondientes, dentro de los 30 (treinta) días de recibida la presente, sobre los siguientes puntos referidos a cada uno de los siguientes conjuntos habitacionales: Barrio Carrillo I y II, Barrio </w:t>
      </w:r>
      <w:proofErr w:type="spellStart"/>
      <w:r w:rsidRPr="00E30FA5">
        <w:rPr>
          <w:rFonts w:ascii="Times New Roman" w:eastAsia="Times New Roman" w:hAnsi="Times New Roman" w:cs="Times New Roman"/>
          <w:color w:val="000000"/>
          <w:kern w:val="0"/>
          <w:sz w:val="24"/>
          <w:szCs w:val="24"/>
          <w:lang w:val="es-ES" w:eastAsia="es-ES"/>
        </w:rPr>
        <w:t>Nágera</w:t>
      </w:r>
      <w:proofErr w:type="spellEnd"/>
      <w:r w:rsidRPr="00E30FA5">
        <w:rPr>
          <w:rFonts w:ascii="Times New Roman" w:eastAsia="Times New Roman" w:hAnsi="Times New Roman" w:cs="Times New Roman"/>
          <w:color w:val="000000"/>
          <w:kern w:val="0"/>
          <w:sz w:val="24"/>
          <w:szCs w:val="24"/>
          <w:lang w:val="es-ES" w:eastAsia="es-ES"/>
        </w:rPr>
        <w:t xml:space="preserve">, Barrio </w:t>
      </w:r>
      <w:proofErr w:type="spellStart"/>
      <w:r w:rsidRPr="00E30FA5">
        <w:rPr>
          <w:rFonts w:ascii="Times New Roman" w:eastAsia="Times New Roman" w:hAnsi="Times New Roman" w:cs="Times New Roman"/>
          <w:color w:val="000000"/>
          <w:kern w:val="0"/>
          <w:sz w:val="24"/>
          <w:szCs w:val="24"/>
          <w:lang w:val="es-ES" w:eastAsia="es-ES"/>
        </w:rPr>
        <w:t>Piedrabuena</w:t>
      </w:r>
      <w:proofErr w:type="spellEnd"/>
      <w:r w:rsidRPr="00E30FA5">
        <w:rPr>
          <w:rFonts w:ascii="Times New Roman" w:eastAsia="Times New Roman" w:hAnsi="Times New Roman" w:cs="Times New Roman"/>
          <w:color w:val="000000"/>
          <w:kern w:val="0"/>
          <w:sz w:val="24"/>
          <w:szCs w:val="24"/>
          <w:lang w:val="es-ES" w:eastAsia="es-ES"/>
        </w:rPr>
        <w:t xml:space="preserve">, Conjunto Habitacional </w:t>
      </w:r>
      <w:proofErr w:type="spellStart"/>
      <w:r w:rsidRPr="00E30FA5">
        <w:rPr>
          <w:rFonts w:ascii="Times New Roman" w:eastAsia="Times New Roman" w:hAnsi="Times New Roman" w:cs="Times New Roman"/>
          <w:color w:val="000000"/>
          <w:kern w:val="0"/>
          <w:sz w:val="24"/>
          <w:szCs w:val="24"/>
          <w:lang w:val="es-ES" w:eastAsia="es-ES"/>
        </w:rPr>
        <w:t>Castex</w:t>
      </w:r>
      <w:proofErr w:type="spellEnd"/>
      <w:r w:rsidRPr="00E30FA5">
        <w:rPr>
          <w:rFonts w:ascii="Times New Roman" w:eastAsia="Times New Roman" w:hAnsi="Times New Roman" w:cs="Times New Roman"/>
          <w:color w:val="000000"/>
          <w:kern w:val="0"/>
          <w:sz w:val="24"/>
          <w:szCs w:val="24"/>
          <w:lang w:val="es-ES" w:eastAsia="es-ES"/>
        </w:rPr>
        <w:t xml:space="preserve">, Conjunto Habitacional Consorcio XVI, Conjunto Habitacional </w:t>
      </w:r>
      <w:proofErr w:type="spellStart"/>
      <w:r w:rsidRPr="00E30FA5">
        <w:rPr>
          <w:rFonts w:ascii="Times New Roman" w:eastAsia="Times New Roman" w:hAnsi="Times New Roman" w:cs="Times New Roman"/>
          <w:color w:val="000000"/>
          <w:kern w:val="0"/>
          <w:sz w:val="24"/>
          <w:szCs w:val="24"/>
          <w:lang w:val="es-ES" w:eastAsia="es-ES"/>
        </w:rPr>
        <w:t>Donnizetti</w:t>
      </w:r>
      <w:proofErr w:type="spellEnd"/>
      <w:r w:rsidRPr="00E30FA5">
        <w:rPr>
          <w:rFonts w:ascii="Times New Roman" w:eastAsia="Times New Roman" w:hAnsi="Times New Roman" w:cs="Times New Roman"/>
          <w:color w:val="000000"/>
          <w:kern w:val="0"/>
          <w:sz w:val="24"/>
          <w:szCs w:val="24"/>
          <w:lang w:val="es-ES" w:eastAsia="es-ES"/>
        </w:rPr>
        <w:t xml:space="preserve">, Conjunto Habitacional Dorrego, Conjunto Habitacional Espora, Conjunto Habitacional General </w:t>
      </w:r>
      <w:proofErr w:type="spellStart"/>
      <w:r w:rsidRPr="00E30FA5">
        <w:rPr>
          <w:rFonts w:ascii="Times New Roman" w:eastAsia="Times New Roman" w:hAnsi="Times New Roman" w:cs="Times New Roman"/>
          <w:color w:val="000000"/>
          <w:kern w:val="0"/>
          <w:sz w:val="24"/>
          <w:szCs w:val="24"/>
          <w:lang w:val="es-ES" w:eastAsia="es-ES"/>
        </w:rPr>
        <w:t>Savio</w:t>
      </w:r>
      <w:proofErr w:type="spellEnd"/>
      <w:r w:rsidRPr="00E30FA5">
        <w:rPr>
          <w:rFonts w:ascii="Times New Roman" w:eastAsia="Times New Roman" w:hAnsi="Times New Roman" w:cs="Times New Roman"/>
          <w:color w:val="000000"/>
          <w:kern w:val="0"/>
          <w:sz w:val="24"/>
          <w:szCs w:val="24"/>
          <w:lang w:val="es-ES" w:eastAsia="es-ES"/>
        </w:rPr>
        <w:t xml:space="preserve">, Conjunto Habitacional </w:t>
      </w:r>
      <w:proofErr w:type="spellStart"/>
      <w:r w:rsidRPr="00E30FA5">
        <w:rPr>
          <w:rFonts w:ascii="Times New Roman" w:eastAsia="Times New Roman" w:hAnsi="Times New Roman" w:cs="Times New Roman"/>
          <w:color w:val="000000"/>
          <w:kern w:val="0"/>
          <w:sz w:val="24"/>
          <w:szCs w:val="24"/>
          <w:lang w:val="es-ES" w:eastAsia="es-ES"/>
        </w:rPr>
        <w:t>Illia</w:t>
      </w:r>
      <w:proofErr w:type="spellEnd"/>
      <w:r w:rsidRPr="00E30FA5">
        <w:rPr>
          <w:rFonts w:ascii="Times New Roman" w:eastAsia="Times New Roman" w:hAnsi="Times New Roman" w:cs="Times New Roman"/>
          <w:color w:val="000000"/>
          <w:kern w:val="0"/>
          <w:sz w:val="24"/>
          <w:szCs w:val="24"/>
          <w:lang w:val="es-ES" w:eastAsia="es-ES"/>
        </w:rPr>
        <w:t xml:space="preserve">, Conjunto Habitacional J. J. Castro, Conjunto Habitacional Justo Suárez, Conjunto Habitacional Lafuente, Conjunto Habitacional Rivadavia I, Conjunto Habitacional Rivadavia II, Conjunto Habitacional </w:t>
      </w:r>
      <w:proofErr w:type="spellStart"/>
      <w:r w:rsidRPr="00E30FA5">
        <w:rPr>
          <w:rFonts w:ascii="Times New Roman" w:eastAsia="Times New Roman" w:hAnsi="Times New Roman" w:cs="Times New Roman"/>
          <w:color w:val="000000"/>
          <w:kern w:val="0"/>
          <w:sz w:val="24"/>
          <w:szCs w:val="24"/>
          <w:lang w:val="es-ES" w:eastAsia="es-ES"/>
        </w:rPr>
        <w:t>Samoré</w:t>
      </w:r>
      <w:proofErr w:type="spellEnd"/>
      <w:r w:rsidRPr="00E30FA5">
        <w:rPr>
          <w:rFonts w:ascii="Times New Roman" w:eastAsia="Times New Roman" w:hAnsi="Times New Roman" w:cs="Times New Roman"/>
          <w:color w:val="000000"/>
          <w:kern w:val="0"/>
          <w:sz w:val="24"/>
          <w:szCs w:val="24"/>
          <w:lang w:val="es-ES" w:eastAsia="es-ES"/>
        </w:rPr>
        <w:t xml:space="preserve">, Conjunto Habitacional </w:t>
      </w:r>
      <w:proofErr w:type="spellStart"/>
      <w:r w:rsidRPr="00E30FA5">
        <w:rPr>
          <w:rFonts w:ascii="Times New Roman" w:eastAsia="Times New Roman" w:hAnsi="Times New Roman" w:cs="Times New Roman"/>
          <w:color w:val="000000"/>
          <w:kern w:val="0"/>
          <w:sz w:val="24"/>
          <w:szCs w:val="24"/>
          <w:lang w:val="es-ES" w:eastAsia="es-ES"/>
        </w:rPr>
        <w:t>Soldati</w:t>
      </w:r>
      <w:proofErr w:type="spellEnd"/>
      <w:r w:rsidRPr="00E30FA5">
        <w:rPr>
          <w:rFonts w:ascii="Times New Roman" w:eastAsia="Times New Roman" w:hAnsi="Times New Roman" w:cs="Times New Roman"/>
          <w:color w:val="000000"/>
          <w:kern w:val="0"/>
          <w:sz w:val="24"/>
          <w:szCs w:val="24"/>
          <w:lang w:val="es-ES" w:eastAsia="es-ES"/>
        </w:rPr>
        <w:t xml:space="preserve"> y Conjunto Habitacional </w:t>
      </w:r>
      <w:proofErr w:type="spellStart"/>
      <w:r w:rsidRPr="00E30FA5">
        <w:rPr>
          <w:rFonts w:ascii="Times New Roman" w:eastAsia="Times New Roman" w:hAnsi="Times New Roman" w:cs="Times New Roman"/>
          <w:color w:val="000000"/>
          <w:kern w:val="0"/>
          <w:sz w:val="24"/>
          <w:szCs w:val="24"/>
          <w:lang w:val="es-ES" w:eastAsia="es-ES"/>
        </w:rPr>
        <w:t>Copello</w:t>
      </w:r>
      <w:proofErr w:type="spellEnd"/>
      <w:r w:rsidRPr="00E30FA5">
        <w:rPr>
          <w:rFonts w:ascii="Times New Roman" w:eastAsia="Times New Roman" w:hAnsi="Times New Roman" w:cs="Times New Roman"/>
          <w:color w:val="000000"/>
          <w:kern w:val="0"/>
          <w:sz w:val="24"/>
          <w:szCs w:val="24"/>
          <w:lang w:val="es-ES" w:eastAsia="es-ES"/>
        </w:rPr>
        <w:t>:</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registros o relevamientos actualizados sobre los conjuntos habitacionales mencionados. En caso afirmativo, indique cantidad de viviendas o unidades habitacionales, cantidad estimada de hogares o familias, composición familiar, fecha de actualización de la información, organismo responsable y fuente utilizada. </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relevamientos, registros o intervenciones vinculadas a espacios comunitarios, sociales, culturales, deportivos, de cuidado, comedores, merenderos u otros espacios de organización barrial que funcionen en los conjuntos habitacionales, o en su entorno próximo. En caso afirmativo, detalle tipo de espacio, organismo interviniente, acciones realizadas, programas vinculados y estado actual. </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relevamientos sobre equipamientos educativos, sanitarios y de cuidado ubicados en los conjuntos habitacionales,  o en su entorno próximo, incluyendo escuelas, jardines maternales, centros de primera infancia, centros de salud u otros dispositivos públicos o comunitarios. En caso afirmativo, detalle ubicación, dependencia institucional, población alcanzada, principales problemáticas identificadas y acciones previstas o ejecutadas. </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relevamientos vinculados a actividades comerciales, productivas, de servicios o de la economía popular desarrolladas en los conjuntos habitacionales, o en su entorno próximo. En caso afirmativo, detalle tipo de actividades relevadas, organismo interviniente, criterios de acompañamiento, regularización, fiscalización u ordenamiento aplicados, y programas vinculados. </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Indique si en los últimos 5 años se recibieron reclamos o solicitudes vecinales vinculados a problemas de accesibilidad, circulación peatonal, conectividad con el entorno, falta o deterioro de espacios públicos, iluminación, veredas, pasajes o áreas comunes, así como a filtraciones, desbordes cloacales, humedad estructural, roturas de cañerías, problemas de desagüe u otras problemáticas similares. En todos los casos, informar los canales por los cuales se recibieron los reclamos -presenciales, telefónicos o digitales-, la respuesta brindada y el estado de avance o resolución de cada reclamo.</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relevamientos, registros, diagnósticos técnicos o bases de información actualizadas sobre el estado de los servicios básicos en los conjuntos habitacionales incluyendo provisión de agua potable, red cloacal, electricidad y gas. En caso afirmativo, detalle fecha de actualización de la información, organismo responsable, fuente utilizada, metodología de relevamiento y principales problemáticas identificadas por conjunto habitacional.</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Informe si existen relevamientos actualizados sobre la cantidad de unidades habitacionales que cuentan con conexión efectiva a cada uno de dichos servicios, discriminando por conjunto habitacional y por tipo de servicio. En caso afirmativo, indique cantidad de unidades conectadas, y estado de las conexiones existentes. Detalle también </w:t>
      </w:r>
      <w:proofErr w:type="gramStart"/>
      <w:r w:rsidRPr="00E30FA5">
        <w:rPr>
          <w:rFonts w:ascii="Times New Roman" w:eastAsia="Times New Roman" w:hAnsi="Times New Roman" w:cs="Times New Roman"/>
          <w:color w:val="000000"/>
          <w:kern w:val="0"/>
          <w:sz w:val="24"/>
          <w:szCs w:val="24"/>
          <w:lang w:val="es-ES" w:eastAsia="es-ES"/>
        </w:rPr>
        <w:t>las cantidad</w:t>
      </w:r>
      <w:proofErr w:type="gramEnd"/>
      <w:r w:rsidRPr="00E30FA5">
        <w:rPr>
          <w:rFonts w:ascii="Times New Roman" w:eastAsia="Times New Roman" w:hAnsi="Times New Roman" w:cs="Times New Roman"/>
          <w:color w:val="000000"/>
          <w:kern w:val="0"/>
          <w:sz w:val="24"/>
          <w:szCs w:val="24"/>
          <w:lang w:val="es-ES" w:eastAsia="es-ES"/>
        </w:rPr>
        <w:t xml:space="preserve"> de conexiones irregulares registradas.</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Informe qué organismos, áreas o dependencias del Gobierno de la Ciudad tienen actualmente intervención, competencia o responsabilidad sobre los conjuntos </w:t>
      </w:r>
      <w:r w:rsidRPr="00E30FA5">
        <w:rPr>
          <w:rFonts w:ascii="Times New Roman" w:eastAsia="Times New Roman" w:hAnsi="Times New Roman" w:cs="Times New Roman"/>
          <w:color w:val="000000"/>
          <w:kern w:val="0"/>
          <w:sz w:val="24"/>
          <w:szCs w:val="24"/>
          <w:lang w:val="es-ES" w:eastAsia="es-ES"/>
        </w:rPr>
        <w:lastRenderedPageBreak/>
        <w:t>habitacionales, especificando el alcance de dicha intervención en materia de mantenimiento general, infraestructura sanitaria, desagües pluviales, red cloacal, obras hidráulicas, espacios comunes, atención de reclamos y ejecución de obras. </w:t>
      </w:r>
    </w:p>
    <w:p w:rsidR="00E30FA5" w:rsidRPr="00E30FA5" w:rsidRDefault="00E30FA5" w:rsidP="00E30FA5">
      <w:pPr>
        <w:numPr>
          <w:ilvl w:val="0"/>
          <w:numId w:val="1"/>
        </w:numPr>
        <w:spacing w:after="0" w:line="240" w:lineRule="auto"/>
        <w:ind w:right="138"/>
        <w:jc w:val="both"/>
        <w:textAlignment w:val="baseline"/>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para cada uno de los conjuntos habitacionales comprendidos en la presente resolución, el detalle de las partidas presupuestarias ejecutadas durante los últimos cinco años destinadas a tareas de mantenimiento, reparación y obras, indicando:</w:t>
      </w:r>
    </w:p>
    <w:p w:rsidR="00E30FA5" w:rsidRPr="00E30FA5" w:rsidRDefault="00E30FA5" w:rsidP="00E30FA5">
      <w:pPr>
        <w:numPr>
          <w:ilvl w:val="1"/>
          <w:numId w:val="1"/>
        </w:numPr>
        <w:spacing w:after="0" w:line="240" w:lineRule="auto"/>
        <w:ind w:right="138"/>
        <w:jc w:val="both"/>
        <w:textAlignment w:val="baseline"/>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Programa, actividad, proyecto u obra al que fueron imputadas las erogaciones.</w:t>
      </w:r>
    </w:p>
    <w:p w:rsidR="00E30FA5" w:rsidRPr="00E30FA5" w:rsidRDefault="00E30FA5" w:rsidP="00E30FA5">
      <w:pPr>
        <w:numPr>
          <w:ilvl w:val="1"/>
          <w:numId w:val="1"/>
        </w:numPr>
        <w:spacing w:after="0" w:line="240" w:lineRule="auto"/>
        <w:ind w:right="138"/>
        <w:jc w:val="both"/>
        <w:textAlignment w:val="baseline"/>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Crédito vigente, monto devengado y monto ejecutado.</w:t>
      </w:r>
    </w:p>
    <w:p w:rsidR="00E30FA5" w:rsidRPr="00E30FA5" w:rsidRDefault="00E30FA5" w:rsidP="00E30FA5">
      <w:pPr>
        <w:numPr>
          <w:ilvl w:val="1"/>
          <w:numId w:val="1"/>
        </w:numPr>
        <w:spacing w:after="0" w:line="240" w:lineRule="auto"/>
        <w:ind w:right="138"/>
        <w:jc w:val="both"/>
        <w:textAlignment w:val="baseline"/>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Tipo de intervención realizada, diferenciando entre mantenimiento general, reparaciones estructurales, infraestructura sanitaria, red de agua potable, red cloacal, desagües pluviales, obras hidráulicas, instalaciones eléctricas, impermeabilizaciones, accesibilidad, ascensores, espacios comunes, iluminación, equipamiento comunitario y demás obras ejecutadas.</w:t>
      </w:r>
    </w:p>
    <w:p w:rsidR="00E30FA5" w:rsidRPr="00E30FA5" w:rsidRDefault="00E30FA5" w:rsidP="00E30FA5">
      <w:pPr>
        <w:numPr>
          <w:ilvl w:val="1"/>
          <w:numId w:val="1"/>
        </w:numPr>
        <w:spacing w:after="0" w:line="240" w:lineRule="auto"/>
        <w:ind w:right="138"/>
        <w:jc w:val="both"/>
        <w:textAlignment w:val="baseline"/>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Fecha de ejecución de cada intervención.</w:t>
      </w:r>
    </w:p>
    <w:p w:rsidR="00E30FA5" w:rsidRPr="00E30FA5" w:rsidRDefault="00E30FA5" w:rsidP="00E30FA5">
      <w:pPr>
        <w:numPr>
          <w:ilvl w:val="1"/>
          <w:numId w:val="1"/>
        </w:numPr>
        <w:spacing w:after="0" w:line="240" w:lineRule="auto"/>
        <w:ind w:right="138"/>
        <w:jc w:val="both"/>
        <w:textAlignment w:val="baseline"/>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Empresa contratista o modalidad de ejecución, indicando el número de expediente o contratación correspondiente.</w:t>
      </w:r>
    </w:p>
    <w:p w:rsidR="00E30FA5" w:rsidRDefault="00E30FA5" w:rsidP="00E30FA5">
      <w:p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p>
    <w:p w:rsidR="00E30FA5" w:rsidRPr="00E30FA5" w:rsidRDefault="00E30FA5" w:rsidP="00E30FA5">
      <w:pPr>
        <w:pStyle w:val="Prrafodelista"/>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relevamientos técnicos, informes estructurales o diagnósticos integrales sobre el estado edilicio y sanitario de los conjuntos habitacionales. En caso afirmativo, remita la documentación correspondiente.</w:t>
      </w:r>
    </w:p>
    <w:p w:rsidR="00E30FA5" w:rsidRDefault="00E30FA5" w:rsidP="00E30FA5">
      <w:pPr>
        <w:pStyle w:val="Prrafodelista"/>
        <w:numPr>
          <w:ilvl w:val="0"/>
          <w:numId w:val="1"/>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qué obras de mantenimiento o refacción fueron realizadas en los conjuntos habitacionales durante los últimos cinco años, detallando:</w:t>
      </w:r>
    </w:p>
    <w:p w:rsidR="00E30FA5" w:rsidRDefault="00E30FA5" w:rsidP="00E30FA5">
      <w:pPr>
        <w:pStyle w:val="Prrafodelista"/>
        <w:numPr>
          <w:ilvl w:val="1"/>
          <w:numId w:val="14"/>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fecha de intervención</w:t>
      </w:r>
    </w:p>
    <w:p w:rsidR="00E30FA5" w:rsidRPr="00E30FA5" w:rsidRDefault="00E30FA5" w:rsidP="00E30FA5">
      <w:pPr>
        <w:pStyle w:val="Prrafodelista"/>
        <w:numPr>
          <w:ilvl w:val="1"/>
          <w:numId w:val="14"/>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empresa contratista</w:t>
      </w:r>
    </w:p>
    <w:p w:rsidR="00E30FA5" w:rsidRDefault="00E30FA5" w:rsidP="00E30FA5">
      <w:pPr>
        <w:pStyle w:val="Prrafodelista"/>
        <w:numPr>
          <w:ilvl w:val="1"/>
          <w:numId w:val="14"/>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monto ejecutado</w:t>
      </w:r>
    </w:p>
    <w:p w:rsidR="00E30FA5" w:rsidRDefault="00E30FA5" w:rsidP="00E30FA5">
      <w:pPr>
        <w:pStyle w:val="Prrafodelista"/>
        <w:numPr>
          <w:ilvl w:val="1"/>
          <w:numId w:val="14"/>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sector intervenido </w:t>
      </w:r>
    </w:p>
    <w:p w:rsidR="00E30FA5" w:rsidRPr="00E30FA5" w:rsidRDefault="00E30FA5" w:rsidP="00E30FA5">
      <w:pPr>
        <w:pStyle w:val="Prrafodelista"/>
        <w:numPr>
          <w:ilvl w:val="1"/>
          <w:numId w:val="14"/>
        </w:numPr>
        <w:spacing w:after="0" w:line="240" w:lineRule="auto"/>
        <w:ind w:right="138"/>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estado de avance.</w:t>
      </w:r>
    </w:p>
    <w:p w:rsidR="00E30FA5" w:rsidRDefault="00E30FA5" w:rsidP="00E30FA5">
      <w:p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p>
    <w:p w:rsidR="00E30FA5" w:rsidRPr="00E30FA5" w:rsidRDefault="00E30FA5" w:rsidP="00E30FA5">
      <w:pPr>
        <w:pStyle w:val="Prrafodelista"/>
        <w:numPr>
          <w:ilvl w:val="0"/>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informes técnicos, inspecciones o actuaciones administrativas relacionadas con:</w:t>
      </w:r>
    </w:p>
    <w:p w:rsidR="00E30FA5" w:rsidRP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obstrucción de cañerías;</w:t>
      </w:r>
    </w:p>
    <w:p w:rsidR="00E30FA5" w:rsidRPr="00E30FA5" w:rsidRDefault="00E30FA5" w:rsidP="00E30FA5">
      <w:pPr>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colapso de desagües;</w:t>
      </w:r>
    </w:p>
    <w:p w:rsidR="00E30FA5" w:rsidRPr="00E30FA5" w:rsidRDefault="00E30FA5" w:rsidP="00E30FA5">
      <w:pPr>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desbordes cloacales;</w:t>
      </w:r>
    </w:p>
    <w:p w:rsidR="00E30FA5" w:rsidRPr="00E30FA5" w:rsidRDefault="00E30FA5" w:rsidP="00E30FA5">
      <w:pPr>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inundaciones internas;</w:t>
      </w:r>
    </w:p>
    <w:p w:rsidR="00E30FA5" w:rsidRPr="00E30FA5" w:rsidRDefault="00E30FA5" w:rsidP="00E30FA5">
      <w:pPr>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riesgo sanitario derivado del mal funcionamiento de la red.</w:t>
      </w:r>
    </w:p>
    <w:p w:rsidR="00E30FA5" w:rsidRPr="00E30FA5" w:rsidRDefault="00E30FA5" w:rsidP="00E30FA5">
      <w:pPr>
        <w:spacing w:after="0" w:line="240" w:lineRule="auto"/>
        <w:ind w:right="138" w:firstLine="708"/>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En caso afirmativo, adjuntar la documentación correspondiente.</w:t>
      </w:r>
    </w:p>
    <w:p w:rsidR="00E30FA5" w:rsidRDefault="00E30FA5" w:rsidP="00E30FA5">
      <w:pPr>
        <w:pStyle w:val="Prrafodelista"/>
        <w:numPr>
          <w:ilvl w:val="0"/>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se encuentra prevista la ejecución de obras de renovación o adecuación integral de la infraestructura sanitaria y pluvial de los conjuntos habitacionales. Detalle:</w:t>
      </w:r>
    </w:p>
    <w:p w:rsidR="00E30FA5" w:rsidRDefault="00E30FA5" w:rsidP="00E30FA5">
      <w:pPr>
        <w:pStyle w:val="Prrafodelista"/>
        <w:numPr>
          <w:ilvl w:val="1"/>
          <w:numId w:val="15"/>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presupuesto asignado</w:t>
      </w:r>
    </w:p>
    <w:p w:rsidR="00E30FA5" w:rsidRDefault="00E30FA5" w:rsidP="00E30FA5">
      <w:pPr>
        <w:pStyle w:val="Prrafodelista"/>
        <w:numPr>
          <w:ilvl w:val="1"/>
          <w:numId w:val="15"/>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organismo ejecutor </w:t>
      </w:r>
    </w:p>
    <w:p w:rsidR="00E30FA5" w:rsidRDefault="00E30FA5" w:rsidP="00E30FA5">
      <w:pPr>
        <w:pStyle w:val="Prrafodelista"/>
        <w:numPr>
          <w:ilvl w:val="1"/>
          <w:numId w:val="15"/>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estado administrativo de la obra</w:t>
      </w:r>
    </w:p>
    <w:p w:rsidR="00E30FA5" w:rsidRDefault="00E30FA5" w:rsidP="00E30FA5">
      <w:p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p>
    <w:p w:rsidR="00E30FA5" w:rsidRDefault="00E30FA5" w:rsidP="00E30FA5">
      <w:pPr>
        <w:pStyle w:val="Prrafodelista"/>
        <w:numPr>
          <w:ilvl w:val="0"/>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se encuentra prevista o en elaboración alguna intervención integral, plan de mantenimiento, diagnóstico de prioridades o programa específico para el mejoramiento de los conjuntos habitacionales. En caso afirmativo, detalle:</w:t>
      </w:r>
    </w:p>
    <w:p w:rsid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objetivos;</w:t>
      </w:r>
    </w:p>
    <w:p w:rsid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etapas;</w:t>
      </w:r>
    </w:p>
    <w:p w:rsid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organismos responsables;</w:t>
      </w:r>
    </w:p>
    <w:p w:rsid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presupuesto asignado;</w:t>
      </w:r>
    </w:p>
    <w:p w:rsid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obras previstas ;</w:t>
      </w:r>
    </w:p>
    <w:p w:rsidR="00E30FA5" w:rsidRDefault="00E30FA5" w:rsidP="00E30FA5">
      <w:pPr>
        <w:pStyle w:val="Prrafodelista"/>
        <w:numPr>
          <w:ilvl w:val="1"/>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mecanismos de seguimiento.</w:t>
      </w:r>
    </w:p>
    <w:p w:rsidR="00E30FA5" w:rsidRDefault="00E30FA5" w:rsidP="00E30FA5">
      <w:p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p>
    <w:p w:rsidR="00E30FA5" w:rsidRDefault="00E30FA5" w:rsidP="00E30FA5">
      <w:pPr>
        <w:pStyle w:val="Prrafodelista"/>
        <w:numPr>
          <w:ilvl w:val="0"/>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Informe si existen registros, relevamientos, actuaciones administrativas, programas, expedientes o intervenciones vinculadas a la situación </w:t>
      </w:r>
      <w:proofErr w:type="spellStart"/>
      <w:r w:rsidRPr="00E30FA5">
        <w:rPr>
          <w:rFonts w:ascii="Times New Roman" w:eastAsia="Times New Roman" w:hAnsi="Times New Roman" w:cs="Times New Roman"/>
          <w:color w:val="000000"/>
          <w:kern w:val="0"/>
          <w:sz w:val="24"/>
          <w:szCs w:val="24"/>
          <w:lang w:val="es-ES" w:eastAsia="es-ES"/>
        </w:rPr>
        <w:t>dominial</w:t>
      </w:r>
      <w:proofErr w:type="spellEnd"/>
      <w:r w:rsidRPr="00E30FA5">
        <w:rPr>
          <w:rFonts w:ascii="Times New Roman" w:eastAsia="Times New Roman" w:hAnsi="Times New Roman" w:cs="Times New Roman"/>
          <w:color w:val="000000"/>
          <w:kern w:val="0"/>
          <w:sz w:val="24"/>
          <w:szCs w:val="24"/>
          <w:lang w:val="es-ES" w:eastAsia="es-ES"/>
        </w:rPr>
        <w:t xml:space="preserve">, regularización </w:t>
      </w:r>
      <w:proofErr w:type="spellStart"/>
      <w:r w:rsidRPr="00E30FA5">
        <w:rPr>
          <w:rFonts w:ascii="Times New Roman" w:eastAsia="Times New Roman" w:hAnsi="Times New Roman" w:cs="Times New Roman"/>
          <w:color w:val="000000"/>
          <w:kern w:val="0"/>
          <w:sz w:val="24"/>
          <w:szCs w:val="24"/>
          <w:lang w:val="es-ES" w:eastAsia="es-ES"/>
        </w:rPr>
        <w:t>dominial</w:t>
      </w:r>
      <w:proofErr w:type="spellEnd"/>
      <w:r w:rsidRPr="00E30FA5">
        <w:rPr>
          <w:rFonts w:ascii="Times New Roman" w:eastAsia="Times New Roman" w:hAnsi="Times New Roman" w:cs="Times New Roman"/>
          <w:color w:val="000000"/>
          <w:kern w:val="0"/>
          <w:sz w:val="24"/>
          <w:szCs w:val="24"/>
          <w:lang w:val="es-ES" w:eastAsia="es-ES"/>
        </w:rPr>
        <w:t xml:space="preserve">, escrituración, adjudicación, transferencia o perfeccionamiento de la situación jurídica de las viviendas o unidades </w:t>
      </w:r>
      <w:r w:rsidRPr="00E30FA5">
        <w:rPr>
          <w:rFonts w:ascii="Times New Roman" w:eastAsia="Times New Roman" w:hAnsi="Times New Roman" w:cs="Times New Roman"/>
          <w:color w:val="000000"/>
          <w:kern w:val="0"/>
          <w:sz w:val="24"/>
          <w:szCs w:val="24"/>
          <w:lang w:val="es-ES" w:eastAsia="es-ES"/>
        </w:rPr>
        <w:lastRenderedPageBreak/>
        <w:t>habitacionales de los conjuntos. En caso afirmativo, detalle organismo interviniente, estado de avance, cantidad de unidades alcanzadas, cantidad de unidades pendientes, tipo de documentación existente y fecha de actualización de la información.</w:t>
      </w:r>
    </w:p>
    <w:p w:rsidR="00E30FA5" w:rsidRPr="00E30FA5" w:rsidRDefault="00E30FA5" w:rsidP="00E30FA5">
      <w:pPr>
        <w:pStyle w:val="Prrafodelista"/>
        <w:numPr>
          <w:ilvl w:val="0"/>
          <w:numId w:val="1"/>
        </w:numPr>
        <w:spacing w:after="0" w:line="240" w:lineRule="auto"/>
        <w:ind w:right="138"/>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existen registros actualizados sobre la condición de tenencia de las unidades habitacionales, indicando cantidad de propietarios/as, adjudicatarios/as, inquilinos/as, ocupantes u otras situaciones relevadas, discriminadas por conjuntos habitacionales, y detalle el organismo responsable del registro, fuente utilizada y criterios aplicados para su clasificación.</w:t>
      </w:r>
    </w:p>
    <w:p w:rsidR="00E30FA5" w:rsidRPr="00E30FA5" w:rsidRDefault="00E30FA5" w:rsidP="00E30FA5">
      <w:pPr>
        <w:pStyle w:val="Prrafodelista"/>
        <w:numPr>
          <w:ilvl w:val="0"/>
          <w:numId w:val="1"/>
        </w:numPr>
        <w:spacing w:after="0" w:line="240" w:lineRule="auto"/>
        <w:jc w:val="both"/>
        <w:textAlignment w:val="baseline"/>
        <w:rPr>
          <w:rFonts w:ascii="Times New Roman" w:eastAsia="Times New Roman" w:hAnsi="Times New Roman" w:cs="Times New Roman"/>
          <w:color w:val="000000"/>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Informe si el Instituto de Vivienda de la Ciudad u otro organismo competente ha brindado asistencia técnica, jurídica, administrativa o social para la conformación, regularización o funcionamiento de consorcios, administraciones, acuerdos de mantenimiento o mecanismos de gestión de espacios comunes en los conjuntos habitacionales. En caso afirmativo, detalle acciones realizadas, organismo responsable, período de intervención y estado actual.</w:t>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b/>
          <w:bCs/>
          <w:color w:val="000000"/>
          <w:kern w:val="0"/>
          <w:sz w:val="24"/>
          <w:szCs w:val="24"/>
          <w:lang w:val="es-ES" w:eastAsia="es-ES"/>
        </w:rPr>
        <w:t>Artículo 2°.-</w:t>
      </w:r>
      <w:r w:rsidRPr="00E30FA5">
        <w:rPr>
          <w:rFonts w:ascii="Times New Roman" w:eastAsia="Times New Roman" w:hAnsi="Times New Roman" w:cs="Times New Roman"/>
          <w:color w:val="000000"/>
          <w:kern w:val="0"/>
          <w:sz w:val="24"/>
          <w:szCs w:val="24"/>
          <w:lang w:val="es-ES" w:eastAsia="es-ES"/>
        </w:rPr>
        <w:t xml:space="preserve"> Comuníquese, etc.</w:t>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Sala de Comisión:                        de 2026</w:t>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kern w:val="0"/>
          <w:sz w:val="24"/>
          <w:szCs w:val="24"/>
          <w:lang w:val="es-ES" w:eastAsia="es-ES"/>
        </w:rPr>
        <w:br/>
      </w:r>
      <w:r w:rsidRPr="00E30FA5">
        <w:rPr>
          <w:rFonts w:ascii="Times New Roman" w:eastAsia="Times New Roman" w:hAnsi="Times New Roman" w:cs="Times New Roman"/>
          <w:kern w:val="0"/>
          <w:sz w:val="24"/>
          <w:szCs w:val="24"/>
          <w:lang w:val="es-ES" w:eastAsia="es-ES"/>
        </w:rPr>
        <w:br/>
      </w: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xml:space="preserve">FREIRE, Victoria </w:t>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t xml:space="preserve">FIGUEROA, </w:t>
      </w:r>
      <w:proofErr w:type="spellStart"/>
      <w:r w:rsidRPr="00E30FA5">
        <w:rPr>
          <w:rFonts w:ascii="Times New Roman" w:eastAsia="Times New Roman" w:hAnsi="Times New Roman" w:cs="Times New Roman"/>
          <w:color w:val="000000"/>
          <w:kern w:val="0"/>
          <w:sz w:val="24"/>
          <w:szCs w:val="24"/>
          <w:lang w:val="es-ES" w:eastAsia="es-ES"/>
        </w:rPr>
        <w:t>Rocio</w:t>
      </w:r>
      <w:proofErr w:type="spellEnd"/>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Presidenta</w:t>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t>Vicepresidenta 1°</w:t>
      </w: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kern w:val="0"/>
          <w:sz w:val="24"/>
          <w:szCs w:val="24"/>
          <w:lang w:val="es-ES" w:eastAsia="es-ES"/>
        </w:rPr>
        <w:br/>
      </w: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ERNST Marcelo Gregorio</w:t>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BIELLI, María.</w:t>
      </w: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      Vicepresidente 2°</w:t>
      </w: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kern w:val="0"/>
          <w:sz w:val="24"/>
          <w:szCs w:val="24"/>
          <w:lang w:val="es-ES" w:eastAsia="es-ES"/>
        </w:rPr>
        <w:br/>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FERNANDEZ, Juan Ignacio</w:t>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ROSSEN, Bárbara</w:t>
      </w: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ALIFRACO, Edgardo Néstor</w:t>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Calibri" w:eastAsia="Times New Roman" w:hAnsi="Calibri" w:cs="Calibri"/>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IAÑEZ, Berenice</w:t>
      </w: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NAGATA, Sebastián</w:t>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t>PARERA, Ignacio José</w:t>
      </w: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SALVATIERRA, Alejandro</w:t>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r>
      <w:r w:rsidRPr="00E30FA5">
        <w:rPr>
          <w:rFonts w:ascii="Times New Roman" w:eastAsia="Times New Roman" w:hAnsi="Times New Roman" w:cs="Times New Roman"/>
          <w:color w:val="000000"/>
          <w:kern w:val="0"/>
          <w:sz w:val="24"/>
          <w:szCs w:val="24"/>
          <w:lang w:val="es-ES" w:eastAsia="es-ES"/>
        </w:rPr>
        <w:tab/>
        <w:t>SUAREZ, Guillermo</w:t>
      </w:r>
    </w:p>
    <w:p w:rsidR="00E30FA5" w:rsidRDefault="00E30FA5" w:rsidP="00E30FA5">
      <w:pPr>
        <w:spacing w:after="240" w:line="240" w:lineRule="auto"/>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kern w:val="0"/>
          <w:sz w:val="24"/>
          <w:szCs w:val="24"/>
          <w:lang w:val="es-ES" w:eastAsia="es-ES"/>
        </w:rPr>
        <w:lastRenderedPageBreak/>
        <w:br/>
      </w:r>
    </w:p>
    <w:p w:rsidR="00E30FA5" w:rsidRPr="00E30FA5" w:rsidRDefault="00E30FA5" w:rsidP="00E30FA5">
      <w:pPr>
        <w:spacing w:after="240" w:line="240" w:lineRule="auto"/>
        <w:rPr>
          <w:rFonts w:ascii="Times New Roman" w:eastAsia="Times New Roman" w:hAnsi="Times New Roman" w:cs="Times New Roman"/>
          <w:kern w:val="0"/>
          <w:sz w:val="24"/>
          <w:szCs w:val="24"/>
          <w:lang w:val="es-ES" w:eastAsia="es-ES"/>
        </w:rPr>
      </w:pPr>
    </w:p>
    <w:p w:rsidR="00E30FA5" w:rsidRPr="00E30FA5" w:rsidRDefault="00E30FA5" w:rsidP="00E30FA5">
      <w:pPr>
        <w:spacing w:after="0" w:line="240" w:lineRule="auto"/>
        <w:ind w:right="-95"/>
        <w:jc w:val="both"/>
        <w:rPr>
          <w:rFonts w:ascii="Times New Roman" w:eastAsia="Times New Roman" w:hAnsi="Times New Roman" w:cs="Times New Roman"/>
          <w:kern w:val="0"/>
          <w:sz w:val="24"/>
          <w:szCs w:val="24"/>
          <w:lang w:val="es-ES" w:eastAsia="es-ES"/>
        </w:rPr>
      </w:pPr>
      <w:r w:rsidRPr="00E30FA5">
        <w:rPr>
          <w:rFonts w:ascii="Times New Roman" w:eastAsia="Times New Roman" w:hAnsi="Times New Roman" w:cs="Times New Roman"/>
          <w:color w:val="000000"/>
          <w:kern w:val="0"/>
          <w:sz w:val="24"/>
          <w:szCs w:val="24"/>
          <w:lang w:val="es-ES" w:eastAsia="es-ES"/>
        </w:rPr>
        <w:t>WOLFF, Waldo</w:t>
      </w:r>
    </w:p>
    <w:p w:rsidR="00AF6364" w:rsidRPr="000425FE" w:rsidRDefault="00AF6364">
      <w:pPr>
        <w:rPr>
          <w:rFonts w:ascii="Times New Roman" w:hAnsi="Times New Roman" w:cs="Times New Roman"/>
          <w:lang w:val="es-MX"/>
        </w:rPr>
      </w:pPr>
    </w:p>
    <w:sectPr w:rsidR="00AF6364" w:rsidRPr="000425FE"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95C" w:rsidRDefault="0090795C" w:rsidP="00AF6364">
      <w:pPr>
        <w:spacing w:after="0" w:line="240" w:lineRule="auto"/>
      </w:pPr>
      <w:r>
        <w:separator/>
      </w:r>
    </w:p>
  </w:endnote>
  <w:endnote w:type="continuationSeparator" w:id="0">
    <w:p w:rsidR="0090795C" w:rsidRDefault="0090795C"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E5365D" w:rsidRPr="00487F56">
      <w:rPr>
        <w:sz w:val="20"/>
        <w:szCs w:val="20"/>
      </w:rPr>
      <w:fldChar w:fldCharType="begin"/>
    </w:r>
    <w:r w:rsidR="00487F56" w:rsidRPr="00487F56">
      <w:rPr>
        <w:sz w:val="20"/>
        <w:szCs w:val="20"/>
      </w:rPr>
      <w:instrText xml:space="preserve"> PRINTDATE  \@ "d/M/yyyy HH:mm:ss"  \* MERGEFORMAT </w:instrText>
    </w:r>
    <w:r w:rsidR="00E5365D" w:rsidRPr="00487F56">
      <w:rPr>
        <w:sz w:val="20"/>
        <w:szCs w:val="20"/>
      </w:rPr>
      <w:fldChar w:fldCharType="separate"/>
    </w:r>
    <w:r w:rsidR="00DC006F">
      <w:rPr>
        <w:noProof/>
        <w:sz w:val="20"/>
        <w:szCs w:val="20"/>
      </w:rPr>
      <w:t>18/9/2026</w:t>
    </w:r>
    <w:r w:rsidR="00DC006F">
      <w:rPr>
        <w:noProof/>
        <w:sz w:val="20"/>
        <w:szCs w:val="20"/>
      </w:rPr>
      <w:t xml:space="preserve"> </w:t>
    </w:r>
    <w:r w:rsidR="00DC006F">
      <w:rPr>
        <w:noProof/>
        <w:sz w:val="20"/>
        <w:szCs w:val="20"/>
      </w:rPr>
      <w:t>15</w:t>
    </w:r>
    <w:r w:rsidR="00DC006F">
      <w:rPr>
        <w:noProof/>
        <w:sz w:val="20"/>
        <w:szCs w:val="20"/>
      </w:rPr>
      <w:t>:</w:t>
    </w:r>
    <w:r w:rsidR="00DC006F">
      <w:rPr>
        <w:noProof/>
        <w:sz w:val="20"/>
        <w:szCs w:val="20"/>
      </w:rPr>
      <w:t>19</w:t>
    </w:r>
    <w:r w:rsidR="00DC006F">
      <w:rPr>
        <w:noProof/>
        <w:sz w:val="20"/>
        <w:szCs w:val="20"/>
      </w:rPr>
      <w:t>:00</w:t>
    </w:r>
    <w:r w:rsidR="00E5365D" w:rsidRPr="00487F56">
      <w:rPr>
        <w:sz w:val="20"/>
        <w:szCs w:val="20"/>
      </w:rPr>
      <w:fldChar w:fldCharType="end"/>
    </w:r>
    <w:r w:rsidRPr="001C19C4">
      <w:rPr>
        <w:color w:val="333333"/>
        <w:sz w:val="20"/>
      </w:rPr>
      <w:t xml:space="preserve">  -  Cantidad de caracteres: </w:t>
    </w:r>
    <w:fldSimple w:instr=" NUMCHARS  \* MERGEFORMAT ">
      <w:r w:rsidR="00DC006F" w:rsidRPr="00DC006F">
        <w:rPr>
          <w:noProof/>
          <w:color w:val="333333"/>
          <w:sz w:val="20"/>
        </w:rPr>
        <w:t>10492</w:t>
      </w:r>
    </w:fldSimple>
    <w:r w:rsidRPr="001C19C4">
      <w:rPr>
        <w:color w:val="333333"/>
        <w:sz w:val="20"/>
      </w:rPr>
      <w:t xml:space="preserve"> - Cantidad de palabras: </w:t>
    </w:r>
    <w:fldSimple w:instr=" NUMWORDS  \* MERGEFORMAT ">
      <w:r w:rsidR="00DC006F" w:rsidRPr="00DC006F">
        <w:rPr>
          <w:noProof/>
          <w:color w:val="333333"/>
          <w:sz w:val="20"/>
        </w:rPr>
        <w:t>1594</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E5365D" w:rsidRPr="001C19C4">
      <w:rPr>
        <w:rStyle w:val="Nmerodepgina"/>
        <w:color w:val="333333"/>
      </w:rPr>
      <w:fldChar w:fldCharType="begin"/>
    </w:r>
    <w:r w:rsidRPr="001C19C4">
      <w:rPr>
        <w:rStyle w:val="Nmerodepgina"/>
        <w:color w:val="333333"/>
      </w:rPr>
      <w:instrText xml:space="preserve"> PAGE </w:instrText>
    </w:r>
    <w:r w:rsidR="00E5365D" w:rsidRPr="001C19C4">
      <w:rPr>
        <w:rStyle w:val="Nmerodepgina"/>
        <w:color w:val="333333"/>
      </w:rPr>
      <w:fldChar w:fldCharType="separate"/>
    </w:r>
    <w:r w:rsidR="00DC006F">
      <w:rPr>
        <w:rStyle w:val="Nmerodepgina"/>
        <w:noProof/>
        <w:color w:val="333333"/>
      </w:rPr>
      <w:t>4</w:t>
    </w:r>
    <w:r w:rsidR="00E5365D" w:rsidRPr="001C19C4">
      <w:rPr>
        <w:rStyle w:val="Nmerodepgina"/>
        <w:color w:val="333333"/>
      </w:rPr>
      <w:fldChar w:fldCharType="end"/>
    </w:r>
    <w:r w:rsidRPr="001C19C4">
      <w:rPr>
        <w:rStyle w:val="Nmerodepgina"/>
        <w:color w:val="333333"/>
      </w:rPr>
      <w:t>/</w:t>
    </w:r>
    <w:fldSimple w:instr=" NUMPAGES  \* MERGEFORMAT ">
      <w:r w:rsidR="00DC006F">
        <w:rPr>
          <w:noProof/>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95C" w:rsidRDefault="0090795C" w:rsidP="00AF6364">
      <w:pPr>
        <w:spacing w:after="0" w:line="240" w:lineRule="auto"/>
      </w:pPr>
      <w:r>
        <w:separator/>
      </w:r>
    </w:p>
  </w:footnote>
  <w:footnote w:type="continuationSeparator" w:id="0">
    <w:p w:rsidR="0090795C" w:rsidRDefault="0090795C"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529F"/>
    <w:multiLevelType w:val="multilevel"/>
    <w:tmpl w:val="6F929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63281D"/>
    <w:multiLevelType w:val="multilevel"/>
    <w:tmpl w:val="4E2C460A"/>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02D68FC"/>
    <w:multiLevelType w:val="multilevel"/>
    <w:tmpl w:val="C590A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7C951EA"/>
    <w:multiLevelType w:val="multilevel"/>
    <w:tmpl w:val="6F929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D8910FE"/>
    <w:multiLevelType w:val="multilevel"/>
    <w:tmpl w:val="6F9298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C37790"/>
    <w:multiLevelType w:val="multilevel"/>
    <w:tmpl w:val="644643AA"/>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2916DDB"/>
    <w:multiLevelType w:val="multilevel"/>
    <w:tmpl w:val="6C9C2A8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lvlOverride w:ilvl="0">
      <w:lvl w:ilvl="0">
        <w:numFmt w:val="decimal"/>
        <w:lvlText w:val="%1."/>
        <w:lvlJc w:val="left"/>
      </w:lvl>
    </w:lvlOverride>
  </w:num>
  <w:num w:numId="3">
    <w:abstractNumId w:val="5"/>
    <w:lvlOverride w:ilvl="0">
      <w:lvl w:ilvl="0">
        <w:numFmt w:val="decimal"/>
        <w:lvlText w:val="%1."/>
        <w:lvlJc w:val="left"/>
      </w:lvl>
    </w:lvlOverride>
  </w:num>
  <w:num w:numId="4">
    <w:abstractNumId w:val="5"/>
    <w:lvlOverride w:ilvl="0">
      <w:lvl w:ilvl="0">
        <w:start w:val="1"/>
        <w:numFmt w:val="decimal"/>
        <w:lvlText w:val="%1."/>
        <w:lvlJc w:val="left"/>
        <w:pPr>
          <w:ind w:left="360" w:hanging="360"/>
        </w:pPr>
      </w:lvl>
    </w:lvlOverride>
    <w:lvlOverride w:ilvl="1">
      <w:lvl w:ilvl="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5">
    <w:abstractNumId w:val="5"/>
    <w:lvlOverride w:ilvl="0">
      <w:lvl w:ilvl="0">
        <w:numFmt w:val="decimal"/>
        <w:lvlText w:val="%1."/>
        <w:lvlJc w:val="left"/>
      </w:lvl>
    </w:lvlOverride>
    <w:lvlOverride w:ilvl="1">
      <w:lvl w:ilvl="1">
        <w:numFmt w:val="lowerLetter"/>
        <w:lvlText w:val="%2."/>
        <w:lvlJc w:val="left"/>
      </w:lvl>
    </w:lvlOverride>
  </w:num>
  <w:num w:numId="6">
    <w:abstractNumId w:val="5"/>
    <w:lvlOverride w:ilvl="0">
      <w:lvl w:ilvl="0">
        <w:numFmt w:val="decimal"/>
        <w:lvlText w:val="%1."/>
        <w:lvlJc w:val="left"/>
      </w:lvl>
    </w:lvlOverride>
    <w:lvlOverride w:ilvl="1">
      <w:lvl w:ilvl="1">
        <w:numFmt w:val="lowerLetter"/>
        <w:lvlText w:val="%2."/>
        <w:lvlJc w:val="left"/>
      </w:lvl>
    </w:lvlOverride>
  </w:num>
  <w:num w:numId="7">
    <w:abstractNumId w:val="1"/>
    <w:lvlOverride w:ilvl="0">
      <w:lvl w:ilvl="0">
        <w:numFmt w:val="decimal"/>
        <w:lvlText w:val="%1."/>
        <w:lvlJc w:val="left"/>
      </w:lvl>
    </w:lvlOverride>
  </w:num>
  <w:num w:numId="8">
    <w:abstractNumId w:val="1"/>
    <w:lvlOverride w:ilvl="0">
      <w:lvl w:ilvl="0">
        <w:numFmt w:val="decimal"/>
        <w:lvlText w:val="%1."/>
        <w:lvlJc w:val="left"/>
      </w:lvl>
    </w:lvlOverride>
    <w:lvlOverride w:ilvl="1">
      <w:lvl w:ilvl="1">
        <w:numFmt w:val="lowerLetter"/>
        <w:lvlText w:val="%2."/>
        <w:lvlJc w:val="left"/>
      </w:lvl>
    </w:lvlOverride>
  </w:num>
  <w:num w:numId="9">
    <w:abstractNumId w:val="1"/>
    <w:lvlOverride w:ilvl="0">
      <w:lvl w:ilvl="0">
        <w:numFmt w:val="decimal"/>
        <w:lvlText w:val="%1."/>
        <w:lvlJc w:val="left"/>
      </w:lvl>
    </w:lvlOverride>
    <w:lvlOverride w:ilvl="1">
      <w:lvl w:ilvl="1">
        <w:numFmt w:val="lowerLetter"/>
        <w:lvlText w:val="%2."/>
        <w:lvlJc w:val="left"/>
      </w:lvl>
    </w:lvlOverride>
  </w:num>
  <w:num w:numId="10">
    <w:abstractNumId w:val="2"/>
    <w:lvlOverride w:ilvl="0">
      <w:lvl w:ilvl="0">
        <w:numFmt w:val="lowerLetter"/>
        <w:lvlText w:val="%1."/>
        <w:lvlJc w:val="left"/>
      </w:lvl>
    </w:lvlOverride>
  </w:num>
  <w:num w:numId="11">
    <w:abstractNumId w:val="6"/>
    <w:lvlOverride w:ilvl="0">
      <w:lvl w:ilvl="0">
        <w:numFmt w:val="decimal"/>
        <w:lvlText w:val="%1."/>
        <w:lvlJc w:val="left"/>
      </w:lvl>
    </w:lvlOverride>
  </w:num>
  <w:num w:numId="12">
    <w:abstractNumId w:val="6"/>
    <w:lvlOverride w:ilvl="0">
      <w:lvl w:ilvl="0">
        <w:numFmt w:val="decimal"/>
        <w:lvlText w:val="%1."/>
        <w:lvlJc w:val="left"/>
      </w:lvl>
    </w:lvlOverride>
  </w:num>
  <w:num w:numId="13">
    <w:abstractNumId w:val="6"/>
    <w:lvlOverride w:ilvl="0">
      <w:lvl w:ilvl="0">
        <w:numFmt w:val="decimal"/>
        <w:lvlText w:val="%1."/>
        <w:lvlJc w:val="left"/>
      </w:lvl>
    </w:lvlOverride>
  </w:num>
  <w:num w:numId="14">
    <w:abstractNumId w:val="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E30FA5"/>
    <w:rsid w:val="000425FE"/>
    <w:rsid w:val="001321D0"/>
    <w:rsid w:val="002B0876"/>
    <w:rsid w:val="00425C91"/>
    <w:rsid w:val="00476D68"/>
    <w:rsid w:val="00487F56"/>
    <w:rsid w:val="004F14B4"/>
    <w:rsid w:val="00597CD1"/>
    <w:rsid w:val="00646C3C"/>
    <w:rsid w:val="006A0EE0"/>
    <w:rsid w:val="006D1BAF"/>
    <w:rsid w:val="006E4861"/>
    <w:rsid w:val="006F666F"/>
    <w:rsid w:val="0072782F"/>
    <w:rsid w:val="00746F04"/>
    <w:rsid w:val="00785CAD"/>
    <w:rsid w:val="007D5575"/>
    <w:rsid w:val="00813615"/>
    <w:rsid w:val="0081386C"/>
    <w:rsid w:val="00887FEC"/>
    <w:rsid w:val="0090795C"/>
    <w:rsid w:val="009A4135"/>
    <w:rsid w:val="00AB7631"/>
    <w:rsid w:val="00AF3B91"/>
    <w:rsid w:val="00AF6364"/>
    <w:rsid w:val="00B24DD0"/>
    <w:rsid w:val="00BF3D7E"/>
    <w:rsid w:val="00C33CB5"/>
    <w:rsid w:val="00C60B5C"/>
    <w:rsid w:val="00CE1C48"/>
    <w:rsid w:val="00DA6887"/>
    <w:rsid w:val="00DB479F"/>
    <w:rsid w:val="00DC006F"/>
    <w:rsid w:val="00E30FA5"/>
    <w:rsid w:val="00E5365D"/>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66F"/>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E30FA5"/>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E30FA5"/>
  </w:style>
</w:styles>
</file>

<file path=word/webSettings.xml><?xml version="1.0" encoding="utf-8"?>
<w:webSettings xmlns:r="http://schemas.openxmlformats.org/officeDocument/2006/relationships" xmlns:w="http://schemas.openxmlformats.org/wordprocessingml/2006/main">
  <w:divs>
    <w:div w:id="1652179172">
      <w:bodyDiv w:val="1"/>
      <w:marLeft w:val="0"/>
      <w:marRight w:val="0"/>
      <w:marTop w:val="0"/>
      <w:marBottom w:val="0"/>
      <w:divBdr>
        <w:top w:val="none" w:sz="0" w:space="0" w:color="auto"/>
        <w:left w:val="none" w:sz="0" w:space="0" w:color="auto"/>
        <w:bottom w:val="none" w:sz="0" w:space="0" w:color="auto"/>
        <w:right w:val="none" w:sz="0" w:space="0" w:color="auto"/>
      </w:divBdr>
    </w:div>
    <w:div w:id="196511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9</TotalTime>
  <Pages>5</Pages>
  <Words>1594</Words>
  <Characters>10492</Characters>
  <Application>Microsoft Office Word</Application>
  <DocSecurity>0</DocSecurity>
  <Lines>224</Lines>
  <Paragraphs>68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3</cp:revision>
  <cp:lastPrinted>2024-04-06T03:02:00Z</cp:lastPrinted>
  <dcterms:created xsi:type="dcterms:W3CDTF">2026-09-18T18:14:00Z</dcterms:created>
  <dcterms:modified xsi:type="dcterms:W3CDTF">2026-09-18T18:25:00Z</dcterms:modified>
</cp:coreProperties>
</file>