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F1B1F0" w14:textId="77777777" w:rsidR="00923427" w:rsidRPr="006401F6" w:rsidRDefault="00923427" w:rsidP="006401F6">
      <w:pPr>
        <w:pStyle w:val="Normal1"/>
        <w:spacing w:after="240" w:line="360" w:lineRule="auto"/>
        <w:jc w:val="right"/>
        <w:rPr>
          <w:rFonts w:ascii="Times New Roman" w:eastAsia="Times New Roman" w:hAnsi="Times New Roman" w:cs="Times New Roman"/>
          <w:i/>
          <w:iCs/>
          <w:sz w:val="24"/>
          <w:szCs w:val="24"/>
        </w:rPr>
      </w:pPr>
      <w:r w:rsidRPr="006401F6">
        <w:rPr>
          <w:rFonts w:ascii="Times New Roman" w:eastAsia="Times New Roman" w:hAnsi="Times New Roman" w:cs="Times New Roman"/>
          <w:i/>
          <w:iCs/>
          <w:sz w:val="24"/>
          <w:szCs w:val="24"/>
        </w:rPr>
        <w:t>Ref. Expediente</w:t>
      </w:r>
      <w:r w:rsidR="00AD255D" w:rsidRPr="006401F6">
        <w:rPr>
          <w:rFonts w:ascii="Times New Roman" w:eastAsia="Times New Roman" w:hAnsi="Times New Roman" w:cs="Times New Roman"/>
          <w:i/>
          <w:iCs/>
          <w:sz w:val="24"/>
          <w:szCs w:val="24"/>
        </w:rPr>
        <w:t xml:space="preserve"> 2736-D-2026</w:t>
      </w:r>
    </w:p>
    <w:p w14:paraId="4C980565" w14:textId="255F54DF" w:rsidR="00923427" w:rsidRPr="006401F6" w:rsidRDefault="00923427" w:rsidP="006401F6">
      <w:pPr>
        <w:pStyle w:val="Normal1"/>
        <w:spacing w:after="240" w:line="360" w:lineRule="auto"/>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Legislatura de la Ciudad Autónoma de Buenos Aires.</w:t>
      </w:r>
    </w:p>
    <w:p w14:paraId="7F13D279" w14:textId="77777777" w:rsidR="00923427" w:rsidRDefault="00923427" w:rsidP="006401F6">
      <w:pPr>
        <w:pStyle w:val="Normal1"/>
        <w:spacing w:after="240" w:line="360" w:lineRule="auto"/>
        <w:jc w:val="both"/>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Visto:</w:t>
      </w:r>
    </w:p>
    <w:p w14:paraId="29BDA171" w14:textId="40F3C70B" w:rsidR="004F1396" w:rsidRDefault="00AD255D" w:rsidP="006401F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AD255D">
        <w:rPr>
          <w:rFonts w:ascii="Times New Roman" w:eastAsia="Times New Roman" w:hAnsi="Times New Roman" w:cs="Times New Roman"/>
          <w:sz w:val="24"/>
          <w:szCs w:val="24"/>
        </w:rPr>
        <w:t xml:space="preserve">El Expediente </w:t>
      </w:r>
      <w:r>
        <w:rPr>
          <w:rFonts w:ascii="Times New Roman" w:eastAsia="Times New Roman" w:hAnsi="Times New Roman" w:cs="Times New Roman"/>
          <w:sz w:val="24"/>
          <w:szCs w:val="24"/>
        </w:rPr>
        <w:t>2736</w:t>
      </w:r>
      <w:r w:rsidRPr="00AD255D">
        <w:rPr>
          <w:rFonts w:ascii="Times New Roman" w:eastAsia="Times New Roman" w:hAnsi="Times New Roman" w:cs="Times New Roman"/>
          <w:sz w:val="24"/>
          <w:szCs w:val="24"/>
        </w:rPr>
        <w:t>-D-2026 de autoría de</w:t>
      </w:r>
      <w:r>
        <w:rPr>
          <w:rFonts w:ascii="Times New Roman" w:eastAsia="Times New Roman" w:hAnsi="Times New Roman" w:cs="Times New Roman"/>
          <w:sz w:val="24"/>
          <w:szCs w:val="24"/>
        </w:rPr>
        <w:t xml:space="preserve"> </w:t>
      </w:r>
      <w:r w:rsidRPr="00AD255D">
        <w:rPr>
          <w:rFonts w:ascii="Times New Roman" w:eastAsia="Times New Roman" w:hAnsi="Times New Roman" w:cs="Times New Roman"/>
          <w:sz w:val="24"/>
          <w:szCs w:val="24"/>
        </w:rPr>
        <w:t>l</w:t>
      </w:r>
      <w:r>
        <w:rPr>
          <w:rFonts w:ascii="Times New Roman" w:eastAsia="Times New Roman" w:hAnsi="Times New Roman" w:cs="Times New Roman"/>
          <w:sz w:val="24"/>
          <w:szCs w:val="24"/>
        </w:rPr>
        <w:t>a</w:t>
      </w:r>
      <w:r w:rsidRPr="00AD255D">
        <w:rPr>
          <w:rFonts w:ascii="Times New Roman" w:eastAsia="Times New Roman" w:hAnsi="Times New Roman" w:cs="Times New Roman"/>
          <w:sz w:val="24"/>
          <w:szCs w:val="24"/>
        </w:rPr>
        <w:t xml:space="preserve"> </w:t>
      </w:r>
      <w:r w:rsidRPr="003F1693">
        <w:rPr>
          <w:rFonts w:ascii="Times New Roman" w:eastAsia="Times New Roman" w:hAnsi="Times New Roman" w:cs="Times New Roman"/>
          <w:b/>
          <w:sz w:val="24"/>
          <w:szCs w:val="24"/>
        </w:rPr>
        <w:t xml:space="preserve">diputada </w:t>
      </w:r>
      <w:proofErr w:type="spellStart"/>
      <w:r w:rsidRPr="003F1693">
        <w:rPr>
          <w:rFonts w:ascii="Times New Roman" w:eastAsia="Times New Roman" w:hAnsi="Times New Roman" w:cs="Times New Roman"/>
          <w:b/>
          <w:sz w:val="24"/>
          <w:szCs w:val="24"/>
        </w:rPr>
        <w:t>Glize</w:t>
      </w:r>
      <w:proofErr w:type="spellEnd"/>
      <w:r w:rsidRPr="003F1693">
        <w:rPr>
          <w:rFonts w:ascii="Times New Roman" w:eastAsia="Times New Roman" w:hAnsi="Times New Roman" w:cs="Times New Roman"/>
          <w:b/>
          <w:sz w:val="24"/>
          <w:szCs w:val="24"/>
        </w:rPr>
        <w:t>, Patricia Inés</w:t>
      </w:r>
      <w:r>
        <w:rPr>
          <w:rFonts w:ascii="Times New Roman" w:eastAsia="Times New Roman" w:hAnsi="Times New Roman" w:cs="Times New Roman"/>
          <w:bCs/>
          <w:sz w:val="24"/>
          <w:szCs w:val="24"/>
        </w:rPr>
        <w:t xml:space="preserve"> </w:t>
      </w:r>
      <w:r w:rsidRPr="00AD255D">
        <w:rPr>
          <w:rFonts w:ascii="Times New Roman" w:eastAsia="Times New Roman" w:hAnsi="Times New Roman" w:cs="Times New Roman"/>
          <w:sz w:val="24"/>
          <w:szCs w:val="24"/>
        </w:rPr>
        <w:t>cuyo objeto es</w:t>
      </w:r>
      <w:r w:rsidRPr="00AD255D">
        <w:rPr>
          <w:rFonts w:ascii="Times New Roman" w:eastAsia="Times New Roman" w:hAnsi="Times New Roman" w:cs="Times New Roman"/>
          <w:bCs/>
          <w:sz w:val="24"/>
          <w:szCs w:val="24"/>
        </w:rPr>
        <w:t xml:space="preserve"> declara</w:t>
      </w:r>
      <w:r w:rsidR="003F1693">
        <w:rPr>
          <w:rFonts w:ascii="Times New Roman" w:eastAsia="Times New Roman" w:hAnsi="Times New Roman" w:cs="Times New Roman"/>
          <w:bCs/>
          <w:sz w:val="24"/>
          <w:szCs w:val="24"/>
        </w:rPr>
        <w:t>r</w:t>
      </w:r>
      <w:r w:rsidRPr="00AD255D">
        <w:rPr>
          <w:rFonts w:ascii="Times New Roman" w:eastAsia="Times New Roman" w:hAnsi="Times New Roman" w:cs="Times New Roman"/>
          <w:bCs/>
          <w:sz w:val="24"/>
          <w:szCs w:val="24"/>
        </w:rPr>
        <w:t xml:space="preserve"> de </w:t>
      </w:r>
      <w:r w:rsidR="003F1693">
        <w:rPr>
          <w:rFonts w:ascii="Times New Roman" w:eastAsia="Times New Roman" w:hAnsi="Times New Roman" w:cs="Times New Roman"/>
          <w:bCs/>
          <w:sz w:val="24"/>
          <w:szCs w:val="24"/>
        </w:rPr>
        <w:t>I</w:t>
      </w:r>
      <w:r>
        <w:rPr>
          <w:rFonts w:ascii="Times New Roman" w:eastAsia="Times New Roman" w:hAnsi="Times New Roman" w:cs="Times New Roman"/>
          <w:bCs/>
          <w:sz w:val="24"/>
          <w:szCs w:val="24"/>
        </w:rPr>
        <w:t xml:space="preserve">nterés </w:t>
      </w:r>
      <w:r w:rsidR="003F1693">
        <w:rPr>
          <w:rFonts w:ascii="Times New Roman" w:eastAsia="Times New Roman" w:hAnsi="Times New Roman" w:cs="Times New Roman"/>
          <w:bCs/>
          <w:sz w:val="24"/>
          <w:szCs w:val="24"/>
        </w:rPr>
        <w:t>C</w:t>
      </w:r>
      <w:r>
        <w:rPr>
          <w:rFonts w:ascii="Times New Roman" w:eastAsia="Times New Roman" w:hAnsi="Times New Roman" w:cs="Times New Roman"/>
          <w:bCs/>
          <w:sz w:val="24"/>
          <w:szCs w:val="24"/>
        </w:rPr>
        <w:t>ultural la exposición “Viva F</w:t>
      </w:r>
      <w:r w:rsidRPr="00AD255D">
        <w:rPr>
          <w:rFonts w:ascii="Times New Roman" w:eastAsia="Times New Roman" w:hAnsi="Times New Roman" w:cs="Times New Roman"/>
          <w:bCs/>
          <w:sz w:val="24"/>
          <w:szCs w:val="24"/>
        </w:rPr>
        <w:t xml:space="preserve">rida”, que se presentará en el </w:t>
      </w:r>
      <w:proofErr w:type="spellStart"/>
      <w:r w:rsidRPr="00AD255D">
        <w:rPr>
          <w:rFonts w:ascii="Times New Roman" w:eastAsia="Times New Roman" w:hAnsi="Times New Roman" w:cs="Times New Roman"/>
          <w:bCs/>
          <w:sz w:val="24"/>
          <w:szCs w:val="24"/>
        </w:rPr>
        <w:t>malba</w:t>
      </w:r>
      <w:proofErr w:type="spellEnd"/>
      <w:r w:rsidRPr="00AD255D">
        <w:rPr>
          <w:rFonts w:ascii="Times New Roman" w:eastAsia="Times New Roman" w:hAnsi="Times New Roman" w:cs="Times New Roman"/>
          <w:sz w:val="24"/>
          <w:szCs w:val="24"/>
        </w:rPr>
        <w:t>, y;</w:t>
      </w:r>
    </w:p>
    <w:p w14:paraId="41A85915" w14:textId="6D32F9FB" w:rsidR="00AD255D" w:rsidRDefault="004F1396" w:rsidP="006401F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p>
    <w:p w14:paraId="0EC50498" w14:textId="5184C2D3" w:rsidR="00AD255D" w:rsidRDefault="00AD255D" w:rsidP="006401F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o</w:t>
      </w:r>
      <w:r w:rsidRPr="00AD255D">
        <w:rPr>
          <w:rFonts w:ascii="Times New Roman" w:eastAsia="Times New Roman" w:hAnsi="Times New Roman" w:cs="Times New Roman"/>
          <w:sz w:val="24"/>
          <w:szCs w:val="24"/>
        </w:rPr>
        <w:t>rganizada por la Semana de la Alta Costura Argentina (SAC), bajo la dirección de Elina Costantini, y por el Museo Frida Kahlo de México, “Viva Frida” será presentada en el Museo de Arte Latinoamericano de Buenos Aires (MALBA) desde el 20 de septiembre de 2026 hasta el 15 de marzo de 2027, con inauguración prevista para el sábado 19 de septiembre. La muestra llega por primera vez a Sudamérica y constituye uno de los principales acontecimientos de la programación con la que el museo celebra sus 25 años de trayectoria.</w:t>
      </w:r>
    </w:p>
    <w:p w14:paraId="467155D1" w14:textId="539D3846" w:rsidR="00AD255D" w:rsidRDefault="00AD255D" w:rsidP="006401F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AD255D">
        <w:rPr>
          <w:rFonts w:ascii="Times New Roman" w:eastAsia="Times New Roman" w:hAnsi="Times New Roman" w:cs="Times New Roman"/>
          <w:sz w:val="24"/>
          <w:szCs w:val="24"/>
        </w:rPr>
        <w:t xml:space="preserve">a exposición, que cuenta con la curaduría de la doctora Circe Henestrosa y la asesoría de </w:t>
      </w:r>
      <w:proofErr w:type="spellStart"/>
      <w:r w:rsidRPr="00AD255D">
        <w:rPr>
          <w:rFonts w:ascii="Times New Roman" w:eastAsia="Times New Roman" w:hAnsi="Times New Roman" w:cs="Times New Roman"/>
          <w:sz w:val="24"/>
          <w:szCs w:val="24"/>
        </w:rPr>
        <w:t>Gannit</w:t>
      </w:r>
      <w:proofErr w:type="spellEnd"/>
      <w:r w:rsidRPr="00AD255D">
        <w:rPr>
          <w:rFonts w:ascii="Times New Roman" w:eastAsia="Times New Roman" w:hAnsi="Times New Roman" w:cs="Times New Roman"/>
          <w:sz w:val="24"/>
          <w:szCs w:val="24"/>
        </w:rPr>
        <w:t xml:space="preserve"> Ankori, reúne objetos personales de Frida Kahlo que salen por primera vez de la “Casa Azul” para ser exhibidos en Sudamérica, en diálogo con obras y fotografías pertenecientes a la Colección Malba-Costantini y otros conjuntos documentales.</w:t>
      </w:r>
    </w:p>
    <w:p w14:paraId="6C3DE4ED" w14:textId="12DD6CA2" w:rsidR="00AD255D" w:rsidRDefault="00AD255D" w:rsidP="006401F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AD255D">
        <w:rPr>
          <w:rFonts w:ascii="Times New Roman" w:eastAsia="Times New Roman" w:hAnsi="Times New Roman" w:cs="Times New Roman"/>
          <w:sz w:val="24"/>
          <w:szCs w:val="24"/>
        </w:rPr>
        <w:t>a exhibición presenta más de 300 objetos y piezas vinculados con la artista, entre ellos vestimentas, accesorios, aparatos ortopédicos, fotografías, cartas, documentos de archivo, litografías y pinturas. Entre las obras centrales se encuentran “Autorretrato con chango y loro”, de 1942, “Diego y yo”, de 1949. El conjunto documental perteneciente a la crítica de arte y amiga de Kahlo, Raquel Tibol, aporta fotografías, cartas y otros materiales que permiten ampliar la mirada sobre su trayectoria.</w:t>
      </w:r>
    </w:p>
    <w:p w14:paraId="790E55C9" w14:textId="45FCEB58" w:rsidR="00AD255D" w:rsidRDefault="00AD255D" w:rsidP="006401F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AD255D">
        <w:rPr>
          <w:rFonts w:ascii="Times New Roman" w:eastAsia="Times New Roman" w:hAnsi="Times New Roman" w:cs="Times New Roman"/>
          <w:sz w:val="24"/>
          <w:szCs w:val="24"/>
        </w:rPr>
        <w:t>l planteo curatorial propone una aproximación a Frida Kahlo que excede el análisis de su producción pictórica. La indumentaria, la autorrepresentación y los objetos personales ocupan un lugar central para comprender el modo en que la artista construyó su imagen y articuló en ella aspectos vinculados con la identidad, la cultura, el género, el cuerpo y la experiencia de la discapacidad. En ese sentido, la vestimenta tehuana adquiere una particular relevancia. Vinculada con la cultura de Oaxaca, fue incorporada por Kahlo como una forma de afirmación cultural y política y como un recurso para construir su propia representación. La ropa también le permitió establecer una relación particular con su cuerpo y con las consecuencias físicas que atravesaron su vida. De este modo, la exposición muestra cómo la indumentaria puede constituirse en una forma de expresión artística y en parte de la construcción de una identidad.</w:t>
      </w:r>
    </w:p>
    <w:p w14:paraId="6BB783C0" w14:textId="0674B2D3" w:rsidR="00AD255D" w:rsidRDefault="00AD255D" w:rsidP="006401F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Que e</w:t>
      </w:r>
      <w:r w:rsidRPr="00AD255D">
        <w:rPr>
          <w:rFonts w:ascii="Times New Roman" w:eastAsia="Times New Roman" w:hAnsi="Times New Roman" w:cs="Times New Roman"/>
          <w:sz w:val="24"/>
          <w:szCs w:val="24"/>
        </w:rPr>
        <w:t>sta perspectiva permite recuperar a Frida Kahlo como una artista cuya obra se encuentra estrechamente vinculada con su experiencia personal, pero también con la cultura mexicana y con debates que mantienen vigencia en el presente. Su producción abordó cuestiones relacionadas con el cuerpo, la identidad y la representación, mientras que su propia imagen se convirtió en una dimensión inseparable de su trayectoria artística. El reconocimiento alcanzado por Kahlo a partir de la segunda mitad del siglo XX la transformó en una referencia del arte moderno y en una figura de alcance internacional.</w:t>
      </w:r>
    </w:p>
    <w:p w14:paraId="734CE927" w14:textId="3A771BDD" w:rsidR="00AD255D" w:rsidRDefault="00AD255D" w:rsidP="006401F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AD255D">
        <w:rPr>
          <w:rFonts w:ascii="Times New Roman" w:eastAsia="Times New Roman" w:hAnsi="Times New Roman" w:cs="Times New Roman"/>
          <w:sz w:val="24"/>
          <w:szCs w:val="24"/>
        </w:rPr>
        <w:t>a propuesta adquiere una dimensión adicional por su articulación con la cuarta edición de la Semana de la Alta Costura Argentina. La programación, que se desarrollará entre el 14 y el 21 de septiembre, vinculará la exposición con desfiles, diseño, arte textil y actividades abiertas al público. La explanada del MALBA será escenario de un desfile de entrada libre y gratuita el 20 de septiembre, mientras que la programación incluirá también la participación de diseñadores argentinos y de la diseñadora mexicana Carla Fernández</w:t>
      </w:r>
    </w:p>
    <w:p w14:paraId="4B07FD5E" w14:textId="046BE684" w:rsidR="00923427" w:rsidRDefault="00AD255D" w:rsidP="006401F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AD255D">
        <w:rPr>
          <w:rFonts w:ascii="Times New Roman" w:eastAsia="Times New Roman" w:hAnsi="Times New Roman" w:cs="Times New Roman"/>
          <w:sz w:val="24"/>
          <w:szCs w:val="24"/>
        </w:rPr>
        <w:t>l vínculo entre “Viva Frida” y la Semana de la Alta Costura no responde únicamente a una cuestión temática. La propuesta parte de una concepción de la indumentaria como una forma de expresión cultural y como un instrumento para construir identidad. El cruce entre arte, diseño y moda permite, de esta manera, ampliar las formas de aproximación a la obra de Kahlo y generar nuevas lecturas sobre la relación entre creación artística, cultura material y representación.</w:t>
      </w:r>
    </w:p>
    <w:p w14:paraId="3DA29895" w14:textId="5D8824AB" w:rsidR="00923427" w:rsidRPr="00754947" w:rsidRDefault="00923427" w:rsidP="006401F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54947">
        <w:rPr>
          <w:rFonts w:ascii="Times New Roman" w:eastAsia="Times New Roman" w:hAnsi="Times New Roman" w:cs="Times New Roman"/>
          <w:sz w:val="24"/>
          <w:szCs w:val="24"/>
        </w:rPr>
        <w:t>Por todo lo expuesto, esta Comisión de Cultura le aconseja al Cuerpo, la aprobación de la siguiente:</w:t>
      </w:r>
    </w:p>
    <w:p w14:paraId="06D08989" w14:textId="3135F9D4" w:rsidR="00AD255D" w:rsidRDefault="00923427" w:rsidP="006401F6">
      <w:pPr>
        <w:pStyle w:val="Normal1"/>
        <w:spacing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DECLARACIÓN</w:t>
      </w:r>
    </w:p>
    <w:p w14:paraId="29B94154" w14:textId="3B3D1406" w:rsidR="00923427" w:rsidRPr="006401F6" w:rsidRDefault="00AD255D" w:rsidP="006401F6">
      <w:pPr>
        <w:pStyle w:val="Normal1"/>
        <w:spacing w:after="240" w:line="360" w:lineRule="auto"/>
        <w:ind w:firstLine="708"/>
        <w:jc w:val="both"/>
        <w:rPr>
          <w:rFonts w:ascii="Times New Roman" w:eastAsia="Times New Roman" w:hAnsi="Times New Roman" w:cs="Times New Roman"/>
          <w:sz w:val="24"/>
          <w:szCs w:val="24"/>
        </w:rPr>
      </w:pPr>
      <w:r w:rsidRPr="006401F6">
        <w:rPr>
          <w:rFonts w:ascii="Times New Roman" w:eastAsia="Times New Roman" w:hAnsi="Times New Roman" w:cs="Times New Roman"/>
          <w:sz w:val="24"/>
          <w:szCs w:val="24"/>
        </w:rPr>
        <w:t>Se declara de Interés Cultural de la Ciudad Autónoma de Buenos Aires la exposición “Viva Frida”, que se presentará en al MALBA entre el del 20 de septiembre de 2026 y el 15 de marzo de 2027.</w:t>
      </w:r>
    </w:p>
    <w:p w14:paraId="430BF5D4" w14:textId="77777777" w:rsidR="00923427" w:rsidRDefault="00923427" w:rsidP="006401F6">
      <w:pPr>
        <w:pStyle w:val="Sinespaciado"/>
        <w:spacing w:after="240" w:line="360" w:lineRule="auto"/>
        <w:jc w:val="both"/>
        <w:rPr>
          <w:rFonts w:ascii="Times New Roman" w:hAnsi="Times New Roman"/>
          <w:sz w:val="24"/>
          <w:szCs w:val="24"/>
          <w:lang w:val="es-MX"/>
        </w:rPr>
      </w:pPr>
      <w:r w:rsidRPr="00783487">
        <w:rPr>
          <w:rFonts w:ascii="Times New Roman" w:hAnsi="Times New Roman"/>
          <w:sz w:val="24"/>
          <w:szCs w:val="24"/>
          <w:lang w:val="es-MX"/>
        </w:rPr>
        <w:t>Sala de la Comisión:</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D75F45">
        <w:rPr>
          <w:rFonts w:ascii="Times New Roman" w:hAnsi="Times New Roman"/>
          <w:sz w:val="24"/>
          <w:szCs w:val="24"/>
          <w:lang w:val="es-MX"/>
        </w:rPr>
        <w:t xml:space="preserve">     </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BB4419">
        <w:rPr>
          <w:rFonts w:ascii="Times New Roman" w:hAnsi="Times New Roman"/>
          <w:sz w:val="24"/>
          <w:szCs w:val="24"/>
          <w:lang w:val="es-MX"/>
        </w:rPr>
        <w:t>2026</w:t>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DE5AD4" w14:paraId="600A78D3" w14:textId="77777777" w:rsidTr="00365E1B">
        <w:tc>
          <w:tcPr>
            <w:tcW w:w="8828" w:type="dxa"/>
            <w:gridSpan w:val="2"/>
            <w:tcBorders>
              <w:top w:val="single" w:sz="4" w:space="0" w:color="000000"/>
              <w:left w:val="single" w:sz="4" w:space="0" w:color="000000"/>
              <w:bottom w:val="single" w:sz="4" w:space="0" w:color="000000"/>
              <w:right w:val="single" w:sz="4" w:space="0" w:color="000000"/>
            </w:tcBorders>
          </w:tcPr>
          <w:p w14:paraId="6F6A6751" w14:textId="77777777" w:rsidR="00DE5AD4" w:rsidRPr="0071252C"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DE5AD4" w14:paraId="47945B05"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CCA0DCC"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E80081A"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0C3A1BD" w14:textId="77777777" w:rsidR="00DE5AD4" w:rsidRDefault="00DE5AD4"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7C20B6C2"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E102E49"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EAC8267" w14:textId="77777777" w:rsidR="00DE5AD4" w:rsidRDefault="00DE5AD4" w:rsidP="00DE5AD4">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0B137327"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4354875"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0B296735"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4E69004B" w14:textId="77777777" w:rsidR="00DE5AD4" w:rsidRPr="0071252C"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D3D253F" w14:textId="77777777" w:rsidR="00DE5AD4" w:rsidRPr="0071252C"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DCAC039" w14:textId="77777777" w:rsidR="00DE5AD4" w:rsidRPr="0071252C" w:rsidRDefault="00DE5AD4"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063D187D"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651E1B0" w14:textId="77777777" w:rsidR="00DE5AD4" w:rsidRDefault="00DE5AD4" w:rsidP="00DE5AD4">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1E4C0697" w14:textId="77777777" w:rsidR="00DE5AD4" w:rsidRPr="0071252C"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5A586AD" w14:textId="77777777" w:rsidR="00DE5AD4" w:rsidRPr="0071252C"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A2C810D" w14:textId="77777777" w:rsidR="00DE5AD4" w:rsidRPr="0071252C"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385FA045" w14:textId="77777777" w:rsidR="00DE5AD4" w:rsidRPr="0071252C"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DE5AD4" w14:paraId="3D58FB2B"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2174B47F"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53D3246"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7BE5B81"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CC946EC"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0B28428"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B84C3C0"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F56990F"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A774A02" w14:textId="77777777" w:rsidR="00DE5AD4" w:rsidRDefault="00DE5AD4" w:rsidP="00DE5AD4">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7D5F0BB6"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2512EEB"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3F81B321"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14:paraId="6DC1D6F2"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05FF993"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CF65964"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1D014C3"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6B968F6"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1FC8355"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F46FED0"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1AA4E79"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D9171CB"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FC7398F"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8F8015C" w14:textId="77777777" w:rsidR="00DE5AD4" w:rsidRDefault="00DE5AD4"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DE5AD4" w14:paraId="44A6D515"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9A864CF"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C3017E9"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C124720"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43F454E" w14:textId="77777777" w:rsidR="00DE5AD4" w:rsidRDefault="00DE5AD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F067449" w14:textId="77777777" w:rsidR="00DE5AD4" w:rsidRDefault="00DE5AD4" w:rsidP="00DE5AD4">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5A7F135"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6DD4C2E"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14:paraId="02C056F5"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7D4AB1B"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4B4E3D5" w14:textId="77777777" w:rsidR="00DE5AD4" w:rsidRDefault="00DE5AD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A9535A0"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009C677" w14:textId="77777777" w:rsidR="00DE5AD4" w:rsidRDefault="00DE5AD4" w:rsidP="00DE5AD4">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20F96DB"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B1AF7F2"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Glize</w:t>
            </w:r>
            <w:proofErr w:type="spellEnd"/>
            <w:r>
              <w:rPr>
                <w:rFonts w:ascii="Times New Roman" w:eastAsia="Times New Roman" w:hAnsi="Times New Roman" w:cs="Times New Roman"/>
                <w:color w:val="000000"/>
                <w:sz w:val="24"/>
                <w:szCs w:val="24"/>
              </w:rPr>
              <w:t>, Patricia Inés</w:t>
            </w:r>
          </w:p>
        </w:tc>
      </w:tr>
      <w:tr w:rsidR="00DE5AD4" w14:paraId="033C34A9"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4F497320"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FD26D10"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6AEE1DE"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E1BE070"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E7DD38C" w14:textId="77777777" w:rsidR="00DE5AD4" w:rsidRDefault="00DE5AD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C2977CE"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DE5DA6C"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75F95119"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8A933A0"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E2E7199"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6C8A06C"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9BF1EA8" w14:textId="77777777" w:rsidR="00DE5AD4" w:rsidRDefault="00DE5AD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408018D"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2305511"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Imas</w:t>
            </w:r>
            <w:proofErr w:type="spellEnd"/>
            <w:r>
              <w:rPr>
                <w:rFonts w:ascii="Times New Roman" w:eastAsia="Times New Roman" w:hAnsi="Times New Roman" w:cs="Times New Roman"/>
                <w:color w:val="000000"/>
                <w:sz w:val="24"/>
                <w:szCs w:val="24"/>
              </w:rPr>
              <w:t>, Silvia</w:t>
            </w:r>
          </w:p>
        </w:tc>
      </w:tr>
      <w:tr w:rsidR="00DE5AD4" w14:paraId="53EB19A8"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7BCF5D0"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72EEBCD"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E191402"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3213FDB" w14:textId="77777777" w:rsidR="00DE5AD4" w:rsidRDefault="00DE5AD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D9B9810"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525800B"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AAE04DA"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00FD1DC1"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96B20A6"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DD0483C" w14:textId="77777777" w:rsidR="00DE5AD4" w:rsidRDefault="00DE5AD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A701985"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990052A"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5231424"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DC89AE5"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bl>
    <w:p w14:paraId="236266D9" w14:textId="77777777" w:rsidR="00DE5AD4" w:rsidRDefault="00DE5AD4">
      <w:r>
        <w:br w:type="page"/>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DE5AD4" w14:paraId="13400006"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7D443365" w14:textId="354B4352"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C74A313"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1A0F3A1"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6AF5E9F" w14:textId="77777777" w:rsidR="00DE5AD4" w:rsidRDefault="00DE5AD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0CDF29F"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7E19727"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4708164"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4B20CB72"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429A064"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BFAFD37"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6D0D523" w14:textId="77777777" w:rsidR="00DE5AD4" w:rsidRDefault="00DE5AD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48D755D"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1DC1580"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331A97D"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DE5AD4" w14:paraId="3DFDE7FC"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94D90F7"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FBF22B4"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2A33E76"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BA0245B" w14:textId="77777777" w:rsidR="00DE5AD4" w:rsidRDefault="00DE5AD4"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99FC20D"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0E44478"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023579C"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06E4AF00"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E1A56BD"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37E4BEE"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F33B6F0" w14:textId="77777777" w:rsidR="00DE5AD4" w:rsidRDefault="00DE5AD4"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14:paraId="50549F24" w14:textId="77777777" w:rsidR="00DE5AD4" w:rsidRDefault="00DE5AD4" w:rsidP="006401F6">
      <w:pPr>
        <w:pStyle w:val="Sinespaciado"/>
        <w:spacing w:after="240" w:line="360" w:lineRule="auto"/>
        <w:jc w:val="both"/>
        <w:rPr>
          <w:rFonts w:ascii="Times New Roman" w:hAnsi="Times New Roman"/>
          <w:sz w:val="24"/>
          <w:szCs w:val="24"/>
          <w:lang w:val="es-MX"/>
        </w:rPr>
      </w:pPr>
    </w:p>
    <w:p w14:paraId="3CE29657" w14:textId="77777777" w:rsidR="00AF6364" w:rsidRDefault="00AF6364">
      <w:pPr>
        <w:rPr>
          <w:rFonts w:ascii="Times New Roman" w:hAnsi="Times New Roman" w:cs="Times New Roman"/>
          <w:lang w:val="es-MX"/>
        </w:rPr>
      </w:pPr>
    </w:p>
    <w:p w14:paraId="5BAE56A7" w14:textId="77777777" w:rsidR="00E91216" w:rsidRDefault="00E91216" w:rsidP="00E91216">
      <w:pPr>
        <w:pStyle w:val="Normal1"/>
        <w:pBdr>
          <w:top w:val="nil"/>
          <w:left w:val="nil"/>
          <w:bottom w:val="nil"/>
          <w:right w:val="nil"/>
          <w:between w:val="nil"/>
        </w:pBdr>
        <w:rPr>
          <w:rFonts w:ascii="Times New Roman" w:eastAsia="Times New Roman" w:hAnsi="Times New Roman" w:cs="Times New Roman"/>
          <w:color w:val="000000"/>
          <w:sz w:val="24"/>
          <w:szCs w:val="24"/>
        </w:rPr>
      </w:pPr>
    </w:p>
    <w:p w14:paraId="4A3F36B5" w14:textId="77777777" w:rsidR="00E91216" w:rsidRDefault="00E91216" w:rsidP="00AD255D">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14:paraId="7622A920" w14:textId="77777777" w:rsidR="00E91216" w:rsidRPr="000425FE" w:rsidRDefault="00E91216">
      <w:pPr>
        <w:rPr>
          <w:rFonts w:ascii="Times New Roman" w:hAnsi="Times New Roman" w:cs="Times New Roman"/>
          <w:lang w:val="es-MX"/>
        </w:rPr>
      </w:pPr>
    </w:p>
    <w:sectPr w:rsidR="00E91216" w:rsidRPr="000425FE"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FB3D4A" w14:textId="77777777" w:rsidR="0037452C" w:rsidRDefault="0037452C" w:rsidP="00AF6364">
      <w:pPr>
        <w:spacing w:after="0" w:line="240" w:lineRule="auto"/>
      </w:pPr>
      <w:r>
        <w:separator/>
      </w:r>
    </w:p>
  </w:endnote>
  <w:endnote w:type="continuationSeparator" w:id="0">
    <w:p w14:paraId="058B9EAE" w14:textId="77777777" w:rsidR="0037452C" w:rsidRDefault="0037452C"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7AF614" w14:textId="1F913A76"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DE5AD4" w:rsidRPr="00DE5AD4">
        <w:rPr>
          <w:noProof/>
          <w:color w:val="333333"/>
          <w:sz w:val="20"/>
        </w:rPr>
        <w:t>18/9/26 6:55:00</w:t>
      </w:r>
      <w:r w:rsidR="00DE5AD4">
        <w:rPr>
          <w:noProof/>
        </w:rPr>
        <w:t xml:space="preserve"> p.</w:t>
      </w:r>
      <w:r w:rsidR="00DE5AD4" w:rsidRPr="00DE5AD4">
        <w:rPr>
          <w:rFonts w:ascii="Arial" w:hAnsi="Arial" w:cs="Arial"/>
          <w:noProof/>
        </w:rPr>
        <w:t> </w:t>
      </w:r>
      <w:r w:rsidR="00DE5AD4">
        <w:rPr>
          <w:noProof/>
        </w:rPr>
        <w:t>m.</w:t>
      </w:r>
    </w:fldSimple>
    <w:r w:rsidRPr="001C19C4">
      <w:rPr>
        <w:color w:val="333333"/>
        <w:sz w:val="20"/>
      </w:rPr>
      <w:t xml:space="preserve">  -  Cantidad de caracteres: </w:t>
    </w:r>
    <w:fldSimple w:instr=" NUMCHARS  \* MERGEFORMAT ">
      <w:r w:rsidR="00DE5AD4" w:rsidRPr="00DE5AD4">
        <w:rPr>
          <w:noProof/>
          <w:color w:val="333333"/>
          <w:sz w:val="20"/>
        </w:rPr>
        <w:t>4088</w:t>
      </w:r>
    </w:fldSimple>
    <w:r w:rsidRPr="001C19C4">
      <w:rPr>
        <w:color w:val="333333"/>
        <w:sz w:val="20"/>
      </w:rPr>
      <w:t xml:space="preserve"> - Cantidad de palabras: </w:t>
    </w:r>
    <w:fldSimple w:instr=" NUMWORDS  \* MERGEFORMAT ">
      <w:r w:rsidR="00DE5AD4" w:rsidRPr="00DE5AD4">
        <w:rPr>
          <w:noProof/>
          <w:color w:val="333333"/>
          <w:sz w:val="20"/>
        </w:rPr>
        <w:t>764</w:t>
      </w:r>
    </w:fldSimple>
  </w:p>
  <w:p w14:paraId="053F1B9C"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DA58F0" w:rsidRPr="001C19C4">
      <w:rPr>
        <w:rStyle w:val="Nmerodepgina"/>
        <w:color w:val="333333"/>
      </w:rPr>
      <w:fldChar w:fldCharType="begin"/>
    </w:r>
    <w:r w:rsidRPr="001C19C4">
      <w:rPr>
        <w:rStyle w:val="Nmerodepgina"/>
        <w:color w:val="333333"/>
      </w:rPr>
      <w:instrText xml:space="preserve"> PAGE </w:instrText>
    </w:r>
    <w:r w:rsidR="00DA58F0" w:rsidRPr="001C19C4">
      <w:rPr>
        <w:rStyle w:val="Nmerodepgina"/>
        <w:color w:val="333333"/>
      </w:rPr>
      <w:fldChar w:fldCharType="separate"/>
    </w:r>
    <w:r w:rsidR="00AD255D">
      <w:rPr>
        <w:rStyle w:val="Nmerodepgina"/>
        <w:noProof/>
        <w:color w:val="333333"/>
      </w:rPr>
      <w:t>2</w:t>
    </w:r>
    <w:r w:rsidR="00DA58F0" w:rsidRPr="001C19C4">
      <w:rPr>
        <w:rStyle w:val="Nmerodepgina"/>
        <w:color w:val="333333"/>
      </w:rPr>
      <w:fldChar w:fldCharType="end"/>
    </w:r>
    <w:r w:rsidRPr="001C19C4">
      <w:rPr>
        <w:rStyle w:val="Nmerodepgina"/>
        <w:color w:val="333333"/>
      </w:rPr>
      <w:t>/</w:t>
    </w:r>
    <w:fldSimple w:instr=" NUMPAGES  \* MERGEFORMAT ">
      <w:r w:rsidR="00AD255D">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F6F410" w14:textId="77777777" w:rsidR="0037452C" w:rsidRDefault="0037452C" w:rsidP="00AF6364">
      <w:pPr>
        <w:spacing w:after="0" w:line="240" w:lineRule="auto"/>
      </w:pPr>
      <w:r>
        <w:separator/>
      </w:r>
    </w:p>
  </w:footnote>
  <w:footnote w:type="continuationSeparator" w:id="0">
    <w:p w14:paraId="48E9B525" w14:textId="77777777" w:rsidR="0037452C" w:rsidRDefault="0037452C"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192FEE"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48506CB6" wp14:editId="50676852">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705092BA" w14:textId="77777777" w:rsidR="00AF6364" w:rsidRDefault="00AF6364">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425FE"/>
    <w:rsid w:val="000F4C87"/>
    <w:rsid w:val="002B0876"/>
    <w:rsid w:val="0037452C"/>
    <w:rsid w:val="003B1982"/>
    <w:rsid w:val="003F1693"/>
    <w:rsid w:val="00425C91"/>
    <w:rsid w:val="00476D68"/>
    <w:rsid w:val="004D1143"/>
    <w:rsid w:val="004F1396"/>
    <w:rsid w:val="004F14B4"/>
    <w:rsid w:val="00556BD6"/>
    <w:rsid w:val="00597CD1"/>
    <w:rsid w:val="006401F6"/>
    <w:rsid w:val="00646C3C"/>
    <w:rsid w:val="006A0EE0"/>
    <w:rsid w:val="006D1BAF"/>
    <w:rsid w:val="006E4861"/>
    <w:rsid w:val="0072782F"/>
    <w:rsid w:val="00746F04"/>
    <w:rsid w:val="00785CAD"/>
    <w:rsid w:val="007D5575"/>
    <w:rsid w:val="00813615"/>
    <w:rsid w:val="0081386C"/>
    <w:rsid w:val="00887FEC"/>
    <w:rsid w:val="00923427"/>
    <w:rsid w:val="009A4135"/>
    <w:rsid w:val="00A712DD"/>
    <w:rsid w:val="00AD255D"/>
    <w:rsid w:val="00AF3B91"/>
    <w:rsid w:val="00AF6364"/>
    <w:rsid w:val="00B0525E"/>
    <w:rsid w:val="00B24DD0"/>
    <w:rsid w:val="00BB4419"/>
    <w:rsid w:val="00C24765"/>
    <w:rsid w:val="00C33CB5"/>
    <w:rsid w:val="00C60B5C"/>
    <w:rsid w:val="00CC2381"/>
    <w:rsid w:val="00D75F45"/>
    <w:rsid w:val="00DA58F0"/>
    <w:rsid w:val="00DA6887"/>
    <w:rsid w:val="00DB479F"/>
    <w:rsid w:val="00DE5AD4"/>
    <w:rsid w:val="00E67406"/>
    <w:rsid w:val="00E91216"/>
    <w:rsid w:val="00EB71F7"/>
    <w:rsid w:val="00F47AFC"/>
    <w:rsid w:val="00F858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0C49B"/>
  <w15:docId w15:val="{2F02C420-D562-8845-826F-85A3EDE8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ypisani\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C:\Users\aypisani\Downloads\PLANTILLA LEGISLAR.dotx</Template>
  <TotalTime>13</TotalTime>
  <Pages>4</Pages>
  <Words>764</Words>
  <Characters>4088</Characters>
  <Application>Microsoft Office Word</Application>
  <DocSecurity>0</DocSecurity>
  <Lines>175</Lines>
  <Paragraphs>33</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5</cp:revision>
  <cp:lastPrinted>2024-04-06T03:02:00Z</cp:lastPrinted>
  <dcterms:created xsi:type="dcterms:W3CDTF">2026-09-16T16:20:00Z</dcterms:created>
  <dcterms:modified xsi:type="dcterms:W3CDTF">2026-09-18T22:00:00Z</dcterms:modified>
</cp:coreProperties>
</file>