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561" w:rsidRDefault="00A65561" w:rsidP="00A65561">
      <w:pPr>
        <w:spacing w:after="0" w:line="240" w:lineRule="auto"/>
        <w:jc w:val="both"/>
        <w:rPr>
          <w:rFonts w:ascii="Times New Roman" w:eastAsia="Times New Roman" w:hAnsi="Times New Roman" w:cs="Times New Roman"/>
          <w:color w:val="000000"/>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Legislatura de la Ciudad Autónoma de Buenos Aires</w:t>
      </w:r>
    </w:p>
    <w:p w:rsidR="00A65561" w:rsidRDefault="00A65561" w:rsidP="00A65561">
      <w:pPr>
        <w:spacing w:after="0" w:line="240" w:lineRule="auto"/>
        <w:jc w:val="both"/>
        <w:rPr>
          <w:rFonts w:ascii="Times New Roman" w:eastAsia="Times New Roman" w:hAnsi="Times New Roman" w:cs="Times New Roman"/>
          <w:color w:val="000000"/>
          <w:kern w:val="0"/>
          <w:sz w:val="24"/>
          <w:szCs w:val="24"/>
          <w:lang w:val="es-ES" w:eastAsia="es-ES"/>
        </w:rPr>
      </w:pPr>
    </w:p>
    <w:p w:rsidR="00A65561" w:rsidRPr="00A65561" w:rsidRDefault="00A65561" w:rsidP="00A65561">
      <w:pPr>
        <w:spacing w:after="0" w:line="240" w:lineRule="auto"/>
        <w:jc w:val="both"/>
        <w:rPr>
          <w:rFonts w:ascii="Times New Roman" w:eastAsia="Times New Roman" w:hAnsi="Times New Roman" w:cs="Times New Roman"/>
          <w:kern w:val="0"/>
          <w:sz w:val="24"/>
          <w:szCs w:val="24"/>
          <w:lang w:val="es-ES" w:eastAsia="es-ES"/>
        </w:rPr>
      </w:pPr>
    </w:p>
    <w:p w:rsidR="00A65561" w:rsidRPr="00A65561" w:rsidRDefault="00A65561" w:rsidP="00A65561">
      <w:pPr>
        <w:spacing w:after="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Visto:</w:t>
      </w:r>
    </w:p>
    <w:p w:rsidR="00A65561" w:rsidRP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t xml:space="preserve">El Expediente N° 2963-D-2026 de autoría de la Diputada Andrea </w:t>
      </w:r>
      <w:proofErr w:type="spellStart"/>
      <w:r w:rsidRPr="00A65561">
        <w:rPr>
          <w:rFonts w:ascii="Times New Roman" w:eastAsia="Times New Roman" w:hAnsi="Times New Roman" w:cs="Times New Roman"/>
          <w:color w:val="000000"/>
          <w:kern w:val="0"/>
          <w:sz w:val="24"/>
          <w:szCs w:val="24"/>
          <w:lang w:val="es-ES" w:eastAsia="es-ES"/>
        </w:rPr>
        <w:t>Freguia</w:t>
      </w:r>
      <w:proofErr w:type="spellEnd"/>
      <w:r w:rsidRPr="00A65561">
        <w:rPr>
          <w:rFonts w:ascii="Times New Roman" w:eastAsia="Times New Roman" w:hAnsi="Times New Roman" w:cs="Times New Roman"/>
          <w:color w:val="000000"/>
          <w:kern w:val="0"/>
          <w:sz w:val="24"/>
          <w:szCs w:val="24"/>
          <w:lang w:val="es-ES" w:eastAsia="es-ES"/>
        </w:rPr>
        <w:t>, sobre informes relacionados a la situación de los contenedores verdes destinados a la separación y recolección diferenciada de residuos reciclables, y </w:t>
      </w:r>
    </w:p>
    <w:p w:rsidR="00A65561" w:rsidRP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0" w:line="240" w:lineRule="auto"/>
        <w:ind w:hanging="709"/>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Considerando:</w:t>
      </w:r>
    </w:p>
    <w:p w:rsidR="00A65561" w:rsidRPr="00A65561" w:rsidRDefault="00A65561" w:rsidP="00A65561">
      <w:pPr>
        <w:spacing w:before="184" w:after="0" w:line="240" w:lineRule="auto"/>
        <w:ind w:left="1" w:right="2" w:firstLine="15"/>
        <w:jc w:val="both"/>
        <w:rPr>
          <w:rFonts w:ascii="Times New Roman" w:eastAsia="Times New Roman" w:hAnsi="Times New Roman" w:cs="Times New Roman"/>
          <w:kern w:val="0"/>
          <w:sz w:val="24"/>
          <w:szCs w:val="24"/>
          <w:lang w:val="es-ES" w:eastAsia="es-ES"/>
        </w:rPr>
      </w:pPr>
      <w:r w:rsidRPr="00A65561">
        <w:rPr>
          <w:rFonts w:ascii="Aptos" w:eastAsia="Times New Roman" w:hAnsi="Aptos" w:cs="Times New Roman"/>
          <w:color w:val="000000"/>
          <w:kern w:val="0"/>
          <w:lang w:val="es-ES" w:eastAsia="es-ES"/>
        </w:rPr>
        <w:tab/>
      </w:r>
      <w:r w:rsidRPr="00A65561">
        <w:rPr>
          <w:rFonts w:ascii="Times New Roman" w:eastAsia="Times New Roman" w:hAnsi="Times New Roman" w:cs="Times New Roman"/>
          <w:color w:val="000000"/>
          <w:kern w:val="0"/>
          <w:sz w:val="24"/>
          <w:szCs w:val="24"/>
          <w:lang w:val="es-ES" w:eastAsia="es-ES"/>
        </w:rPr>
        <w:t>Que la presente propuesta tiene por objeto solicitar al Poder Ejecutivo de la Ciudad  Autónoma de Buenos Aires que, a través de sus organismos competentes, brinde información  precisa, detallada y actualizada respecto de la disponibilidad, cobertura, mantenimiento y efectividad del sistema de contenedores verdes destinados a la separación en origen y recolección diferenciada de residuos secos reciclables. </w:t>
      </w:r>
    </w:p>
    <w:p w:rsidR="00A65561" w:rsidRPr="00A65561" w:rsidRDefault="00A65561" w:rsidP="00A65561">
      <w:pPr>
        <w:spacing w:before="162" w:after="0" w:line="240" w:lineRule="auto"/>
        <w:ind w:left="1" w:right="4" w:firstLine="15"/>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t>Que la Constitución Nacional consagra en su Artículo N° 41 el derecho de todos los habitantes a gozar de un  ambiente sano, equilibrado y apto para el desarrollo humano e impone a las autoridades la  obligación de protegerlo. En sintonía con esta directiva, la Constitución de la Ciudad Autónoma de  Buenos Aires establece en su Artículo N° 27 la conducción indelegable de una política de planeamiento y gestión ambiental urbana orientada a regular el manejo de los residuos, reducir sus volúmenes de generación y mitigar su impacto o peligrosidad. </w:t>
      </w:r>
    </w:p>
    <w:p w:rsidR="00A65561" w:rsidRPr="00A65561" w:rsidRDefault="00A65561" w:rsidP="00A65561">
      <w:pPr>
        <w:spacing w:before="167" w:after="0" w:line="240" w:lineRule="auto"/>
        <w:ind w:left="8" w:right="5" w:firstLine="8"/>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t>Que en el plano legislativo local, la Ley N° 1.854 de Gestión Integral de Residuos Sólidos Urbanos (conocida como Ley de "Basura Cero") fijó los principios, obligaciones y metas para la gestión de residuos en nuestro territorio. Esta norma adoptó como eje estructural la reducción progresiva de  la disposición final en rellenos sanitarios a través de la separación en origen y la recolección diferenciada de la fracción seca. </w:t>
      </w:r>
    </w:p>
    <w:p w:rsidR="00A65561" w:rsidRPr="00A65561" w:rsidRDefault="00A65561" w:rsidP="00A65561">
      <w:pPr>
        <w:spacing w:before="162" w:after="0" w:line="240" w:lineRule="auto"/>
        <w:ind w:left="1" w:right="1" w:firstLine="15"/>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t>Que es fundamental evaluar de forma continua la cobertura, la distribución territorial, el estado y la disponibilidad real de contenedores verdes en la vía pública de las quince Comunas de la Ciudad. La  accesibilidad de estos contenedores resulta esencial para fortalecer la participación ciudadana en la  separación en origen y acompañar el trabajo educativo que la Ciudad realiza en reciclaje y  sustentabilidad. El seguimiento de esta infraestructura beneficia directamente al sistema de higiene  urbana. De este modo, lograr una cobertura equilibrada, y permite aumentar de manera sostenida los  volúmenes de material reciclable que ingresan a los Centros Verdes. </w:t>
      </w:r>
    </w:p>
    <w:p w:rsidR="00A65561" w:rsidRPr="00A65561" w:rsidRDefault="00A65561" w:rsidP="00A65561">
      <w:pPr>
        <w:spacing w:before="162" w:after="0" w:line="240" w:lineRule="auto"/>
        <w:ind w:left="1" w:right="3" w:firstLine="15"/>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t>Que de esta forma, el acceso a información pública clara y transparente es una herramienta fundamental para diseñar políticas eficaces que aseguren el cumplimiento efectivo de la normativa vigente. </w:t>
      </w:r>
      <w:r w:rsidRPr="00A65561">
        <w:rPr>
          <w:rFonts w:ascii="Times New Roman" w:eastAsia="Times New Roman" w:hAnsi="Times New Roman" w:cs="Times New Roman"/>
          <w:color w:val="000000"/>
          <w:kern w:val="0"/>
          <w:sz w:val="24"/>
          <w:szCs w:val="24"/>
          <w:lang w:val="es-ES" w:eastAsia="es-ES"/>
        </w:rPr>
        <w:tab/>
      </w:r>
    </w:p>
    <w:p w:rsidR="00A65561" w:rsidRPr="00A65561" w:rsidRDefault="00A65561" w:rsidP="00A65561">
      <w:pPr>
        <w:spacing w:before="211" w:after="0" w:line="240" w:lineRule="auto"/>
        <w:ind w:left="-3" w:right="6" w:hanging="3"/>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Por lo expuesto, esta Comisión de Ambiente aconseja la aprobación de la siguiente</w:t>
      </w: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0" w:line="240" w:lineRule="auto"/>
        <w:jc w:val="center"/>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b/>
          <w:bCs/>
          <w:color w:val="000000"/>
          <w:kern w:val="0"/>
          <w:sz w:val="24"/>
          <w:szCs w:val="24"/>
          <w:lang w:val="es-ES" w:eastAsia="es-ES"/>
        </w:rPr>
        <w:t>RESOLUCIÓN</w:t>
      </w:r>
    </w:p>
    <w:p w:rsidR="00A65561" w:rsidRP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201" w:after="0" w:line="240" w:lineRule="auto"/>
        <w:ind w:left="-1" w:right="2" w:hanging="1"/>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b/>
          <w:bCs/>
          <w:color w:val="000000"/>
          <w:kern w:val="0"/>
          <w:sz w:val="24"/>
          <w:szCs w:val="24"/>
          <w:lang w:val="es-ES" w:eastAsia="es-ES"/>
        </w:rPr>
        <w:t xml:space="preserve">Artículo 1°.- </w:t>
      </w:r>
      <w:r w:rsidRPr="00A65561">
        <w:rPr>
          <w:rFonts w:ascii="Times New Roman" w:eastAsia="Times New Roman" w:hAnsi="Times New Roman" w:cs="Times New Roman"/>
          <w:color w:val="000000"/>
          <w:kern w:val="0"/>
          <w:sz w:val="24"/>
          <w:szCs w:val="24"/>
          <w:lang w:val="es-ES" w:eastAsia="es-ES"/>
        </w:rPr>
        <w:t>Poder Ejecutivo informará, a través de los organismos correspondientes, dentro de los  treinta (30) días de recibida la presente, sobre los siguientes puntos referidos a la situación de los contenedores verdes destinados a la separación y recolección diferenciada de  residuos reciclables en el ámbito de la Ciudad Autónoma de Buenos Aires: </w:t>
      </w:r>
    </w:p>
    <w:p w:rsidR="00A65561" w:rsidRPr="00A65561" w:rsidRDefault="00A65561" w:rsidP="00A65561">
      <w:pPr>
        <w:spacing w:before="162" w:after="0" w:line="240" w:lineRule="auto"/>
        <w:ind w:left="12" w:right="1" w:firstLine="4"/>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1. Informe la cantidad total de contenedores verdes (fijos, tipo campana u otro formato)  instalados y efectivamente operativos, discriminados por Comuna y Barrio, desde el año 2022 hasta la fecha. </w:t>
      </w:r>
    </w:p>
    <w:p w:rsidR="00A65561" w:rsidRPr="00A65561" w:rsidRDefault="00A65561" w:rsidP="00A65561">
      <w:pPr>
        <w:spacing w:before="166" w:after="0" w:line="240" w:lineRule="auto"/>
        <w:ind w:left="7" w:right="5" w:firstLine="3"/>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2. Informe la proporción entre contenedores destinados a residuos húmedos (negros) y  contenedores verdes destinados a residuos secos reciclables, discriminada por Comuna y Barrio, y si dicha proporción responde a algún criterio técnico o normativo establecido. </w:t>
      </w:r>
    </w:p>
    <w:p w:rsidR="00A65561" w:rsidRDefault="00A65561" w:rsidP="00A65561">
      <w:pPr>
        <w:spacing w:before="161" w:after="0" w:line="240" w:lineRule="auto"/>
        <w:ind w:left="1" w:right="4" w:firstLine="7"/>
        <w:jc w:val="both"/>
        <w:rPr>
          <w:rFonts w:ascii="Times New Roman" w:eastAsia="Times New Roman" w:hAnsi="Times New Roman" w:cs="Times New Roman"/>
          <w:color w:val="000000"/>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3. Informe la cantidad de reclamos recibidos por los canales oficiales (147, BOTI u otros)  vinculados a falta, rotura, desborde o ausencia de contenedores verdes, discriminados por Comuna, para los años 2022, 2023, 2024, 2025 y 2026. </w:t>
      </w:r>
    </w:p>
    <w:p w:rsidR="00A65561" w:rsidRDefault="00A65561" w:rsidP="00A65561">
      <w:pPr>
        <w:spacing w:before="161" w:after="0" w:line="240" w:lineRule="auto"/>
        <w:ind w:left="1" w:right="4" w:firstLine="7"/>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2963-D-2026.</w:t>
      </w:r>
    </w:p>
    <w:p w:rsidR="00A65561" w:rsidRPr="00A65561" w:rsidRDefault="00A65561" w:rsidP="00A65561">
      <w:pPr>
        <w:spacing w:before="161" w:after="0" w:line="240" w:lineRule="auto"/>
        <w:ind w:left="1" w:right="4" w:firstLine="7"/>
        <w:jc w:val="right"/>
        <w:rPr>
          <w:rFonts w:ascii="Times New Roman" w:eastAsia="Times New Roman" w:hAnsi="Times New Roman" w:cs="Times New Roman"/>
          <w:kern w:val="0"/>
          <w:sz w:val="24"/>
          <w:szCs w:val="24"/>
          <w:lang w:val="es-ES" w:eastAsia="es-ES"/>
        </w:rPr>
      </w:pPr>
    </w:p>
    <w:p w:rsidR="00A65561" w:rsidRPr="00A65561" w:rsidRDefault="00A65561" w:rsidP="00A65561">
      <w:pPr>
        <w:spacing w:before="184" w:after="0" w:line="240" w:lineRule="auto"/>
        <w:ind w:left="6" w:right="4" w:firstLine="2"/>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4. Informe cuál es el mecanismo y la frecuencia de reposición de contenedores verdes sustraídos, dañados o retirados de la vía pública, y el plazo promedio entre el reclamo y la reposición efectiva. </w:t>
      </w:r>
    </w:p>
    <w:p w:rsidR="00A65561" w:rsidRPr="00A65561" w:rsidRDefault="00A65561" w:rsidP="00A65561">
      <w:pPr>
        <w:spacing w:before="166" w:after="0" w:line="240" w:lineRule="auto"/>
        <w:ind w:left="4" w:right="4" w:hanging="5"/>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5. Indique cuáles son las empresas prestatarias del Servicio de Higiene Urbana responsables de la provisión, mantenimiento y recolección de los contenedores verdes por zona, y si existen  penalidades contractuales previstas por incumplimiento en la materia. </w:t>
      </w:r>
    </w:p>
    <w:p w:rsidR="00A65561" w:rsidRPr="00A65561" w:rsidRDefault="00A65561" w:rsidP="00A65561">
      <w:pPr>
        <w:spacing w:before="161" w:after="0" w:line="240" w:lineRule="auto"/>
        <w:ind w:left="8" w:right="8" w:firstLine="1"/>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6. Informe si está proyectado ejecutar, durante el transcurso de 2026 y 2027, un plan de ampliación o reposición de contenedores verdes por Barrio dentro de las Comunas de la Ciudad, con indicación de cronograma y zonas priorizadas. </w:t>
      </w:r>
    </w:p>
    <w:p w:rsidR="00A65561" w:rsidRPr="00A65561" w:rsidRDefault="00A65561" w:rsidP="00A65561">
      <w:pPr>
        <w:spacing w:before="166" w:after="0" w:line="240" w:lineRule="auto"/>
        <w:ind w:left="1" w:right="4" w:firstLine="5"/>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7. Informe sobre el volumen de residuos secos reciclables efectivamente recolectados a través de contenedores verdes para los años 2022, 2023, 2024, 2025 y 2026, y su proporción respecto del total de residuos sólidos urbanos generados en el mismo período. </w:t>
      </w:r>
    </w:p>
    <w:p w:rsidR="00A65561" w:rsidRDefault="00A65561" w:rsidP="00A65561">
      <w:pPr>
        <w:spacing w:before="165" w:after="0" w:line="240" w:lineRule="auto"/>
        <w:rPr>
          <w:rFonts w:ascii="Times New Roman" w:eastAsia="Times New Roman" w:hAnsi="Times New Roman" w:cs="Times New Roman"/>
          <w:b/>
          <w:bCs/>
          <w:color w:val="000000"/>
          <w:kern w:val="0"/>
          <w:sz w:val="24"/>
          <w:szCs w:val="24"/>
          <w:lang w:val="es-ES" w:eastAsia="es-ES"/>
        </w:rPr>
      </w:pPr>
    </w:p>
    <w:p w:rsidR="00A65561" w:rsidRPr="00A65561" w:rsidRDefault="00A65561" w:rsidP="00A65561">
      <w:pPr>
        <w:spacing w:before="165" w:after="0" w:line="240" w:lineRule="auto"/>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b/>
          <w:bCs/>
          <w:color w:val="000000"/>
          <w:kern w:val="0"/>
          <w:sz w:val="24"/>
          <w:szCs w:val="24"/>
          <w:lang w:val="es-ES" w:eastAsia="es-ES"/>
        </w:rPr>
        <w:t xml:space="preserve">Artículo 2°.- </w:t>
      </w:r>
      <w:r w:rsidRPr="00A65561">
        <w:rPr>
          <w:rFonts w:ascii="Times New Roman" w:eastAsia="Times New Roman" w:hAnsi="Times New Roman" w:cs="Times New Roman"/>
          <w:color w:val="000000"/>
          <w:kern w:val="0"/>
          <w:sz w:val="24"/>
          <w:szCs w:val="24"/>
          <w:lang w:val="es-ES" w:eastAsia="es-ES"/>
        </w:rPr>
        <w:t>Comuníquese.</w:t>
      </w: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kern w:val="0"/>
          <w:sz w:val="24"/>
          <w:szCs w:val="24"/>
          <w:lang w:val="es-ES" w:eastAsia="es-ES"/>
        </w:rPr>
        <w:br/>
      </w:r>
      <w:r w:rsidRPr="00A65561">
        <w:rPr>
          <w:rFonts w:ascii="Times New Roman" w:eastAsia="Times New Roman" w:hAnsi="Times New Roman" w:cs="Times New Roman"/>
          <w:kern w:val="0"/>
          <w:sz w:val="24"/>
          <w:szCs w:val="24"/>
          <w:lang w:val="es-ES" w:eastAsia="es-ES"/>
        </w:rPr>
        <w:br/>
      </w:r>
    </w:p>
    <w:p w:rsidR="00A65561" w:rsidRPr="00A65561" w:rsidRDefault="00A65561" w:rsidP="00A65561">
      <w:pPr>
        <w:spacing w:after="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Sala de Comisión:</w:t>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kern w:val="0"/>
          <w:sz w:val="24"/>
          <w:szCs w:val="24"/>
          <w:lang w:val="es-ES" w:eastAsia="es-ES"/>
        </w:rPr>
        <w:br/>
      </w:r>
      <w:r w:rsidRPr="00A65561">
        <w:rPr>
          <w:rFonts w:ascii="Times New Roman" w:eastAsia="Times New Roman" w:hAnsi="Times New Roman" w:cs="Times New Roman"/>
          <w:kern w:val="0"/>
          <w:sz w:val="24"/>
          <w:szCs w:val="24"/>
          <w:lang w:val="es-ES" w:eastAsia="es-ES"/>
        </w:rPr>
        <w:br/>
      </w: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 xml:space="preserve">           ALEJANDRO GRILLO</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 xml:space="preserve">             </w:t>
      </w:r>
      <w:r w:rsidRPr="00A65561">
        <w:rPr>
          <w:rFonts w:ascii="Times New Roman" w:eastAsia="Times New Roman" w:hAnsi="Times New Roman" w:cs="Times New Roman"/>
          <w:color w:val="000000"/>
          <w:kern w:val="0"/>
          <w:sz w:val="24"/>
          <w:szCs w:val="24"/>
          <w:lang w:val="es-ES" w:eastAsia="es-ES"/>
        </w:rPr>
        <w:tab/>
        <w:t>                                              Presidente</w:t>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kern w:val="0"/>
          <w:sz w:val="24"/>
          <w:szCs w:val="24"/>
          <w:lang w:val="es-ES" w:eastAsia="es-ES"/>
        </w:rPr>
        <w:br/>
      </w:r>
      <w:r w:rsidRPr="00A65561">
        <w:rPr>
          <w:rFonts w:ascii="Times New Roman" w:eastAsia="Times New Roman" w:hAnsi="Times New Roman" w:cs="Times New Roman"/>
          <w:kern w:val="0"/>
          <w:sz w:val="24"/>
          <w:szCs w:val="24"/>
          <w:lang w:val="es-ES" w:eastAsia="es-ES"/>
        </w:rPr>
        <w:br/>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100" w:after="100" w:line="240" w:lineRule="auto"/>
        <w:ind w:firstLine="708"/>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MATÍAS LÓPEZ</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 xml:space="preserve">                                         SANDRA REY</w:t>
      </w: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           </w:t>
      </w:r>
      <w:r w:rsidRPr="00A65561">
        <w:rPr>
          <w:rFonts w:ascii="Times New Roman" w:eastAsia="Times New Roman" w:hAnsi="Times New Roman" w:cs="Times New Roman"/>
          <w:color w:val="000000"/>
          <w:kern w:val="0"/>
          <w:sz w:val="24"/>
          <w:szCs w:val="24"/>
          <w:lang w:val="es-ES" w:eastAsia="es-ES"/>
        </w:rPr>
        <w:tab/>
        <w:t xml:space="preserve"> Vicepresidente 1</w:t>
      </w:r>
      <w:r w:rsidRPr="00A65561">
        <w:rPr>
          <w:rFonts w:ascii="Times New Roman" w:eastAsia="Times New Roman" w:hAnsi="Times New Roman" w:cs="Times New Roman"/>
          <w:color w:val="000000"/>
          <w:kern w:val="0"/>
          <w:sz w:val="14"/>
          <w:szCs w:val="14"/>
          <w:vertAlign w:val="superscript"/>
          <w:lang w:val="es-ES" w:eastAsia="es-ES"/>
        </w:rPr>
        <w:t>°</w:t>
      </w:r>
      <w:r w:rsidRPr="00A65561">
        <w:rPr>
          <w:rFonts w:ascii="Times New Roman" w:eastAsia="Times New Roman" w:hAnsi="Times New Roman" w:cs="Times New Roman"/>
          <w:color w:val="000000"/>
          <w:kern w:val="0"/>
          <w:sz w:val="24"/>
          <w:szCs w:val="24"/>
          <w:lang w:val="es-ES" w:eastAsia="es-ES"/>
        </w:rPr>
        <w:t xml:space="preserve"> </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 xml:space="preserve">     Vicepresidente 2ª</w:t>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kern w:val="0"/>
          <w:sz w:val="24"/>
          <w:szCs w:val="24"/>
          <w:lang w:val="es-ES" w:eastAsia="es-ES"/>
        </w:rPr>
        <w:br/>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 xml:space="preserve">      EUGENIO CASIELLES     </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 xml:space="preserve">        </w:t>
      </w:r>
      <w:r w:rsidRPr="00A65561">
        <w:rPr>
          <w:rFonts w:ascii="Times New Roman" w:eastAsia="Times New Roman" w:hAnsi="Times New Roman" w:cs="Times New Roman"/>
          <w:color w:val="000000"/>
          <w:kern w:val="0"/>
          <w:sz w:val="24"/>
          <w:szCs w:val="24"/>
          <w:lang w:val="es-ES" w:eastAsia="es-ES"/>
        </w:rPr>
        <w:tab/>
        <w:t xml:space="preserve">   JUAN FACUNDO DEL GAISO</w:t>
      </w:r>
      <w:r w:rsidRPr="00A65561">
        <w:rPr>
          <w:rFonts w:ascii="Times New Roman" w:eastAsia="Times New Roman" w:hAnsi="Times New Roman" w:cs="Times New Roman"/>
          <w:color w:val="000000"/>
          <w:kern w:val="0"/>
          <w:sz w:val="24"/>
          <w:szCs w:val="24"/>
          <w:lang w:val="es-ES" w:eastAsia="es-ES"/>
        </w:rPr>
        <w:tab/>
      </w:r>
    </w:p>
    <w:p w:rsidR="00A65561" w:rsidRP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 </w:t>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before="161" w:after="0" w:line="240" w:lineRule="auto"/>
        <w:ind w:left="1" w:right="4" w:firstLine="7"/>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2963-D-2026.</w:t>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A65561" w:rsidRDefault="00A65561" w:rsidP="00A65561">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JUAN IGNACIO FERNÁNDEZ</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ANDREA FREGUÍA</w:t>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kern w:val="0"/>
          <w:sz w:val="24"/>
          <w:szCs w:val="24"/>
          <w:lang w:val="es-ES" w:eastAsia="es-ES"/>
        </w:rPr>
        <w:br/>
      </w:r>
      <w:r w:rsidRPr="00A65561">
        <w:rPr>
          <w:rFonts w:ascii="Times New Roman" w:eastAsia="Times New Roman" w:hAnsi="Times New Roman" w:cs="Times New Roman"/>
          <w:kern w:val="0"/>
          <w:sz w:val="24"/>
          <w:szCs w:val="24"/>
          <w:lang w:val="es-ES" w:eastAsia="es-ES"/>
        </w:rPr>
        <w:br/>
      </w: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 xml:space="preserve">      ANDREA GONZÁLEZ            </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MARÍA FERNANDA MOLLARD</w:t>
      </w:r>
    </w:p>
    <w:p w:rsidR="00A65561" w:rsidRPr="00A65561" w:rsidRDefault="00A65561" w:rsidP="00A65561">
      <w:pPr>
        <w:spacing w:after="24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          </w:t>
      </w:r>
      <w:r w:rsidRPr="00A65561">
        <w:rPr>
          <w:rFonts w:ascii="Times New Roman" w:eastAsia="Times New Roman" w:hAnsi="Times New Roman" w:cs="Times New Roman"/>
          <w:color w:val="000000"/>
          <w:kern w:val="0"/>
          <w:sz w:val="24"/>
          <w:szCs w:val="24"/>
          <w:lang w:val="es-ES" w:eastAsia="es-ES"/>
        </w:rPr>
        <w:tab/>
      </w:r>
    </w:p>
    <w:p w:rsid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after="0" w:line="240" w:lineRule="auto"/>
        <w:rPr>
          <w:rFonts w:ascii="Times New Roman" w:eastAsia="Times New Roman" w:hAnsi="Times New Roman" w:cs="Times New Roman"/>
          <w:kern w:val="0"/>
          <w:sz w:val="24"/>
          <w:szCs w:val="24"/>
          <w:lang w:val="es-ES" w:eastAsia="es-ES"/>
        </w:rPr>
      </w:pPr>
    </w:p>
    <w:p w:rsidR="00A65561" w:rsidRPr="00A65561" w:rsidRDefault="00A65561" w:rsidP="00A65561">
      <w:pPr>
        <w:spacing w:before="100" w:after="100" w:line="240" w:lineRule="auto"/>
        <w:jc w:val="both"/>
        <w:rPr>
          <w:rFonts w:ascii="Times New Roman" w:eastAsia="Times New Roman" w:hAnsi="Times New Roman" w:cs="Times New Roman"/>
          <w:kern w:val="0"/>
          <w:sz w:val="24"/>
          <w:szCs w:val="24"/>
          <w:lang w:val="es-ES" w:eastAsia="es-ES"/>
        </w:rPr>
      </w:pPr>
      <w:r w:rsidRPr="00A65561">
        <w:rPr>
          <w:rFonts w:ascii="Times New Roman" w:eastAsia="Times New Roman" w:hAnsi="Times New Roman" w:cs="Times New Roman"/>
          <w:color w:val="000000"/>
          <w:kern w:val="0"/>
          <w:sz w:val="24"/>
          <w:szCs w:val="24"/>
          <w:lang w:val="es-ES" w:eastAsia="es-ES"/>
        </w:rPr>
        <w:t>        BÁRBARA ROSSEN</w:t>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r>
      <w:r w:rsidRPr="00A65561">
        <w:rPr>
          <w:rFonts w:ascii="Times New Roman" w:eastAsia="Times New Roman" w:hAnsi="Times New Roman" w:cs="Times New Roman"/>
          <w:color w:val="000000"/>
          <w:kern w:val="0"/>
          <w:sz w:val="24"/>
          <w:szCs w:val="24"/>
          <w:lang w:val="es-ES" w:eastAsia="es-ES"/>
        </w:rPr>
        <w:tab/>
        <w:t xml:space="preserve">     DELFINA VELAZQUEZ</w:t>
      </w:r>
    </w:p>
    <w:p w:rsidR="00382AD1" w:rsidRDefault="00382AD1" w:rsidP="00382AD1">
      <w:pPr>
        <w:pStyle w:val="normal0"/>
      </w:pPr>
    </w:p>
    <w:sectPr w:rsidR="00382AD1" w:rsidSect="000B4077">
      <w:headerReference w:type="default" r:id="rId6"/>
      <w:footerReference w:type="default" r:id="rId7"/>
      <w:pgSz w:w="12240" w:h="20160" w:code="5"/>
      <w:pgMar w:top="2268" w:right="1134"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11D" w:rsidRDefault="0006211D" w:rsidP="00AF6364">
      <w:pPr>
        <w:spacing w:after="0" w:line="240" w:lineRule="auto"/>
      </w:pPr>
      <w:r>
        <w:separator/>
      </w:r>
    </w:p>
  </w:endnote>
  <w:endnote w:type="continuationSeparator" w:id="0">
    <w:p w:rsidR="0006211D" w:rsidRDefault="0006211D"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A65561" w:rsidRPr="00A65561">
        <w:rPr>
          <w:noProof/>
          <w:color w:val="333333"/>
          <w:sz w:val="20"/>
        </w:rPr>
        <w:t>6/10/2026 15:30:00</w:t>
      </w:r>
    </w:fldSimple>
    <w:r w:rsidRPr="001C19C4">
      <w:rPr>
        <w:color w:val="333333"/>
        <w:sz w:val="20"/>
      </w:rPr>
      <w:t xml:space="preserve">  -  Cantidad de caracteres: </w:t>
    </w:r>
    <w:fldSimple w:instr=" NUMCHARS  \* MERGEFORMAT ">
      <w:r w:rsidR="00A65561" w:rsidRPr="00A65561">
        <w:rPr>
          <w:noProof/>
          <w:color w:val="333333"/>
          <w:sz w:val="20"/>
        </w:rPr>
        <w:t>4196</w:t>
      </w:r>
    </w:fldSimple>
    <w:r w:rsidRPr="001C19C4">
      <w:rPr>
        <w:color w:val="333333"/>
        <w:sz w:val="20"/>
      </w:rPr>
      <w:t xml:space="preserve"> - Cantidad de palabras: </w:t>
    </w:r>
    <w:fldSimple w:instr=" NUMWORDS  \* MERGEFORMAT ">
      <w:r w:rsidR="00A65561" w:rsidRPr="00A65561">
        <w:rPr>
          <w:noProof/>
          <w:color w:val="333333"/>
          <w:sz w:val="20"/>
        </w:rPr>
        <w:t>741</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B26863" w:rsidRPr="001C19C4">
      <w:rPr>
        <w:rStyle w:val="Nmerodepgina"/>
        <w:color w:val="333333"/>
      </w:rPr>
      <w:fldChar w:fldCharType="begin"/>
    </w:r>
    <w:r w:rsidRPr="001C19C4">
      <w:rPr>
        <w:rStyle w:val="Nmerodepgina"/>
        <w:color w:val="333333"/>
      </w:rPr>
      <w:instrText xml:space="preserve"> PAGE </w:instrText>
    </w:r>
    <w:r w:rsidR="00B26863" w:rsidRPr="001C19C4">
      <w:rPr>
        <w:rStyle w:val="Nmerodepgina"/>
        <w:color w:val="333333"/>
      </w:rPr>
      <w:fldChar w:fldCharType="separate"/>
    </w:r>
    <w:r w:rsidR="00A65561">
      <w:rPr>
        <w:rStyle w:val="Nmerodepgina"/>
        <w:noProof/>
        <w:color w:val="333333"/>
      </w:rPr>
      <w:t>3</w:t>
    </w:r>
    <w:r w:rsidR="00B26863" w:rsidRPr="001C19C4">
      <w:rPr>
        <w:rStyle w:val="Nmerodepgina"/>
        <w:color w:val="333333"/>
      </w:rPr>
      <w:fldChar w:fldCharType="end"/>
    </w:r>
    <w:r w:rsidRPr="001C19C4">
      <w:rPr>
        <w:rStyle w:val="Nmerodepgina"/>
        <w:color w:val="333333"/>
      </w:rPr>
      <w:t>/</w:t>
    </w:r>
    <w:fldSimple w:instr=" NUMPAGES  \* MERGEFORMAT ">
      <w:r w:rsidR="00A65561">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11D" w:rsidRDefault="0006211D" w:rsidP="00AF6364">
      <w:pPr>
        <w:spacing w:after="0" w:line="240" w:lineRule="auto"/>
      </w:pPr>
      <w:r>
        <w:separator/>
      </w:r>
    </w:p>
  </w:footnote>
  <w:footnote w:type="continuationSeparator" w:id="0">
    <w:p w:rsidR="0006211D" w:rsidRDefault="0006211D"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8674"/>
  </w:hdrShapeDefaults>
  <w:footnotePr>
    <w:footnote w:id="-1"/>
    <w:footnote w:id="0"/>
  </w:footnotePr>
  <w:endnotePr>
    <w:endnote w:id="-1"/>
    <w:endnote w:id="0"/>
  </w:endnotePr>
  <w:compat/>
  <w:rsids>
    <w:rsidRoot w:val="000B4077"/>
    <w:rsid w:val="00020D52"/>
    <w:rsid w:val="000425FE"/>
    <w:rsid w:val="0006211D"/>
    <w:rsid w:val="000B4077"/>
    <w:rsid w:val="00101EDC"/>
    <w:rsid w:val="00136E29"/>
    <w:rsid w:val="00160F69"/>
    <w:rsid w:val="00174CF1"/>
    <w:rsid w:val="001C0184"/>
    <w:rsid w:val="001C67AD"/>
    <w:rsid w:val="002B0876"/>
    <w:rsid w:val="00302EA3"/>
    <w:rsid w:val="003152D8"/>
    <w:rsid w:val="0035260B"/>
    <w:rsid w:val="00382AD1"/>
    <w:rsid w:val="003F0060"/>
    <w:rsid w:val="0041181D"/>
    <w:rsid w:val="00425C91"/>
    <w:rsid w:val="00476D68"/>
    <w:rsid w:val="00492251"/>
    <w:rsid w:val="004E328F"/>
    <w:rsid w:val="004F14B4"/>
    <w:rsid w:val="005030FF"/>
    <w:rsid w:val="00597CD1"/>
    <w:rsid w:val="00613CA9"/>
    <w:rsid w:val="00646C3C"/>
    <w:rsid w:val="00661F93"/>
    <w:rsid w:val="006A0EE0"/>
    <w:rsid w:val="006A1897"/>
    <w:rsid w:val="006A1FAB"/>
    <w:rsid w:val="006C250B"/>
    <w:rsid w:val="006D1BAF"/>
    <w:rsid w:val="006D348A"/>
    <w:rsid w:val="006E4861"/>
    <w:rsid w:val="00720DF9"/>
    <w:rsid w:val="0072782F"/>
    <w:rsid w:val="00744690"/>
    <w:rsid w:val="00746F04"/>
    <w:rsid w:val="00785CAD"/>
    <w:rsid w:val="007B7688"/>
    <w:rsid w:val="007D5575"/>
    <w:rsid w:val="008078DC"/>
    <w:rsid w:val="00813615"/>
    <w:rsid w:val="0081386C"/>
    <w:rsid w:val="00813FEF"/>
    <w:rsid w:val="008614A0"/>
    <w:rsid w:val="00865A06"/>
    <w:rsid w:val="008713C1"/>
    <w:rsid w:val="00874F77"/>
    <w:rsid w:val="008760BD"/>
    <w:rsid w:val="00882568"/>
    <w:rsid w:val="00887FEC"/>
    <w:rsid w:val="008E6FCA"/>
    <w:rsid w:val="008F1DF4"/>
    <w:rsid w:val="009216A8"/>
    <w:rsid w:val="00957DAF"/>
    <w:rsid w:val="009811C6"/>
    <w:rsid w:val="00992819"/>
    <w:rsid w:val="009A4135"/>
    <w:rsid w:val="00A617D9"/>
    <w:rsid w:val="00A65561"/>
    <w:rsid w:val="00AD1392"/>
    <w:rsid w:val="00AE6611"/>
    <w:rsid w:val="00AE7D0E"/>
    <w:rsid w:val="00AF3B91"/>
    <w:rsid w:val="00AF6364"/>
    <w:rsid w:val="00B05E95"/>
    <w:rsid w:val="00B17F29"/>
    <w:rsid w:val="00B24DD0"/>
    <w:rsid w:val="00B26863"/>
    <w:rsid w:val="00B31B0C"/>
    <w:rsid w:val="00BA50A4"/>
    <w:rsid w:val="00BB72AE"/>
    <w:rsid w:val="00BF2F34"/>
    <w:rsid w:val="00C33CB5"/>
    <w:rsid w:val="00C36881"/>
    <w:rsid w:val="00C37125"/>
    <w:rsid w:val="00C60B5C"/>
    <w:rsid w:val="00C631EC"/>
    <w:rsid w:val="00D2569D"/>
    <w:rsid w:val="00D36F9E"/>
    <w:rsid w:val="00D66E13"/>
    <w:rsid w:val="00D963FE"/>
    <w:rsid w:val="00D9758F"/>
    <w:rsid w:val="00DA6887"/>
    <w:rsid w:val="00DB479F"/>
    <w:rsid w:val="00DF4415"/>
    <w:rsid w:val="00DF749D"/>
    <w:rsid w:val="00E90F8F"/>
    <w:rsid w:val="00ED215C"/>
    <w:rsid w:val="00EF43E8"/>
    <w:rsid w:val="00F47AFC"/>
    <w:rsid w:val="00F8587A"/>
    <w:rsid w:val="00F8592E"/>
    <w:rsid w:val="00F90B71"/>
    <w:rsid w:val="00FC41FF"/>
    <w:rsid w:val="00FC694C"/>
    <w:rsid w:val="00FF5697"/>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s>
</file>

<file path=word/webSettings.xml><?xml version="1.0" encoding="utf-8"?>
<w:webSettings xmlns:r="http://schemas.openxmlformats.org/officeDocument/2006/relationships" xmlns:w="http://schemas.openxmlformats.org/wordprocessingml/2006/main">
  <w:divs>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62623383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 (5)</Template>
  <TotalTime>4</TotalTime>
  <Pages>3</Pages>
  <Words>741</Words>
  <Characters>4196</Characters>
  <Application>Microsoft Office Word</Application>
  <DocSecurity>0</DocSecurity>
  <Lines>120</Lines>
  <Paragraphs>30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3</cp:revision>
  <cp:lastPrinted>2024-04-06T03:02:00Z</cp:lastPrinted>
  <dcterms:created xsi:type="dcterms:W3CDTF">2026-10-06T18:30:00Z</dcterms:created>
  <dcterms:modified xsi:type="dcterms:W3CDTF">2026-10-06T18:34:00Z</dcterms:modified>
</cp:coreProperties>
</file>