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3FF" w:rsidRPr="009E0E7B" w:rsidRDefault="00CB13FF" w:rsidP="00CB13FF">
      <w:pPr>
        <w:pStyle w:val="normal0"/>
        <w:pBdr>
          <w:top w:val="nil"/>
          <w:left w:val="nil"/>
          <w:bottom w:val="nil"/>
          <w:right w:val="nil"/>
          <w:between w:val="nil"/>
        </w:pBdr>
        <w:spacing w:line="360" w:lineRule="auto"/>
        <w:rPr>
          <w:rFonts w:ascii="Calibri" w:hAnsi="Calibri" w:cs="Calibri"/>
          <w:color w:val="000000"/>
          <w:sz w:val="22"/>
          <w:szCs w:val="22"/>
        </w:rPr>
      </w:pPr>
      <w:r w:rsidRPr="009E0E7B">
        <w:rPr>
          <w:rFonts w:ascii="Calibri" w:hAnsi="Calibri" w:cs="Calibri"/>
          <w:b/>
          <w:bCs/>
          <w:color w:val="000000"/>
          <w:sz w:val="22"/>
          <w:szCs w:val="22"/>
        </w:rPr>
        <w:t>Legislatura de la Ciudad Autónoma de Buenos Aires</w:t>
      </w:r>
    </w:p>
    <w:p w:rsidR="00CB13FF" w:rsidRPr="009E0E7B" w:rsidRDefault="00CB13FF" w:rsidP="00CB13FF">
      <w:pPr>
        <w:pStyle w:val="normal0"/>
        <w:pBdr>
          <w:top w:val="nil"/>
          <w:left w:val="nil"/>
          <w:bottom w:val="nil"/>
          <w:right w:val="nil"/>
          <w:between w:val="nil"/>
        </w:pBdr>
        <w:spacing w:line="360" w:lineRule="auto"/>
        <w:jc w:val="left"/>
        <w:rPr>
          <w:rFonts w:ascii="Calibri" w:hAnsi="Calibri" w:cs="Calibri"/>
          <w:color w:val="000000"/>
          <w:sz w:val="22"/>
          <w:szCs w:val="22"/>
        </w:rPr>
      </w:pPr>
    </w:p>
    <w:p w:rsidR="00CB13FF" w:rsidRPr="009E0E7B" w:rsidRDefault="00CB13FF" w:rsidP="00CB13FF">
      <w:pPr>
        <w:pStyle w:val="normal0"/>
        <w:pBdr>
          <w:top w:val="nil"/>
          <w:left w:val="nil"/>
          <w:bottom w:val="nil"/>
          <w:right w:val="nil"/>
          <w:between w:val="nil"/>
        </w:pBdr>
        <w:spacing w:line="360" w:lineRule="auto"/>
        <w:rPr>
          <w:rFonts w:ascii="Calibri" w:hAnsi="Calibri" w:cs="Calibri"/>
          <w:b/>
          <w:bCs/>
          <w:color w:val="000000"/>
          <w:sz w:val="22"/>
          <w:szCs w:val="22"/>
        </w:rPr>
      </w:pPr>
      <w:r w:rsidRPr="009E0E7B">
        <w:rPr>
          <w:rFonts w:ascii="Calibri" w:hAnsi="Calibri" w:cs="Calibri"/>
          <w:b/>
          <w:bCs/>
          <w:color w:val="000000"/>
          <w:sz w:val="22"/>
          <w:szCs w:val="22"/>
        </w:rPr>
        <w:t>Visto:</w:t>
      </w:r>
    </w:p>
    <w:p w:rsidR="00CB13FF" w:rsidRPr="009E0E7B" w:rsidRDefault="00CB13FF" w:rsidP="00CB13FF">
      <w:pPr>
        <w:pStyle w:val="normal0"/>
        <w:pBdr>
          <w:top w:val="nil"/>
          <w:left w:val="nil"/>
          <w:bottom w:val="nil"/>
          <w:right w:val="nil"/>
          <w:between w:val="nil"/>
        </w:pBdr>
        <w:spacing w:line="360" w:lineRule="auto"/>
        <w:ind w:firstLine="709"/>
        <w:jc w:val="left"/>
        <w:rPr>
          <w:rFonts w:ascii="Calibri" w:hAnsi="Calibri" w:cs="Calibri"/>
          <w:color w:val="000000"/>
          <w:sz w:val="22"/>
          <w:szCs w:val="22"/>
        </w:rPr>
      </w:pPr>
      <w:r w:rsidRPr="009E0E7B">
        <w:rPr>
          <w:rFonts w:ascii="Calibri" w:hAnsi="Calibri" w:cs="Calibri"/>
          <w:color w:val="000000"/>
          <w:sz w:val="22"/>
          <w:szCs w:val="22"/>
        </w:rPr>
        <w:t xml:space="preserve">  El </w:t>
      </w:r>
      <w:r w:rsidRPr="009E0E7B">
        <w:rPr>
          <w:rFonts w:ascii="Calibri" w:hAnsi="Calibri" w:cs="Calibri"/>
          <w:b/>
          <w:bCs/>
          <w:color w:val="000000"/>
          <w:sz w:val="22"/>
          <w:szCs w:val="22"/>
        </w:rPr>
        <w:t>Expediente Nº</w:t>
      </w:r>
      <w:r w:rsidRPr="009E0E7B">
        <w:rPr>
          <w:rFonts w:ascii="Calibri" w:hAnsi="Calibri" w:cs="Calibri"/>
          <w:sz w:val="22"/>
          <w:szCs w:val="22"/>
        </w:rPr>
        <w:t xml:space="preserve"> </w:t>
      </w:r>
      <w:r w:rsidRPr="009E0E7B">
        <w:rPr>
          <w:rFonts w:ascii="Calibri" w:hAnsi="Calibri" w:cs="Calibri"/>
          <w:b/>
          <w:bCs/>
          <w:color w:val="000000"/>
          <w:sz w:val="22"/>
          <w:szCs w:val="22"/>
        </w:rPr>
        <w:t>910-D-2026</w:t>
      </w:r>
      <w:r w:rsidRPr="009E0E7B">
        <w:rPr>
          <w:rFonts w:ascii="Calibri" w:hAnsi="Calibri" w:cs="Calibri"/>
          <w:b/>
          <w:bCs/>
          <w:color w:val="000000"/>
          <w:sz w:val="22"/>
          <w:szCs w:val="22"/>
        </w:rPr>
        <w:tab/>
      </w:r>
      <w:r w:rsidRPr="009E0E7B">
        <w:rPr>
          <w:rFonts w:ascii="Calibri" w:hAnsi="Calibri" w:cs="Calibri"/>
          <w:bCs/>
          <w:color w:val="000000"/>
          <w:sz w:val="22"/>
          <w:szCs w:val="22"/>
        </w:rPr>
        <w:t>de autoría de los diputados /as</w:t>
      </w:r>
      <w:r>
        <w:rPr>
          <w:rFonts w:ascii="Calibri" w:hAnsi="Calibri" w:cs="Calibri"/>
          <w:b/>
          <w:bCs/>
          <w:color w:val="000000"/>
          <w:sz w:val="22"/>
          <w:szCs w:val="22"/>
        </w:rPr>
        <w:t xml:space="preserve"> </w:t>
      </w:r>
      <w:r w:rsidRPr="009E0E7B">
        <w:rPr>
          <w:rFonts w:ascii="Calibri" w:hAnsi="Calibri" w:cs="Calibri"/>
          <w:bCs/>
          <w:color w:val="000000"/>
          <w:sz w:val="22"/>
          <w:szCs w:val="22"/>
        </w:rPr>
        <w:t>Neira, Claudia Barroetaveña, Matías</w:t>
      </w:r>
      <w:r>
        <w:rPr>
          <w:rFonts w:ascii="Calibri" w:hAnsi="Calibri" w:cs="Calibri"/>
          <w:bCs/>
          <w:color w:val="000000"/>
          <w:sz w:val="22"/>
          <w:szCs w:val="22"/>
        </w:rPr>
        <w:t xml:space="preserve"> y</w:t>
      </w:r>
      <w:r w:rsidRPr="009E0E7B">
        <w:rPr>
          <w:rFonts w:ascii="Calibri" w:hAnsi="Calibri" w:cs="Calibri"/>
          <w:bCs/>
          <w:color w:val="000000"/>
          <w:sz w:val="22"/>
          <w:szCs w:val="22"/>
        </w:rPr>
        <w:t xml:space="preserve"> Rossen, Bárbara</w:t>
      </w:r>
      <w:r>
        <w:rPr>
          <w:rFonts w:ascii="Calibri" w:hAnsi="Calibri" w:cs="Calibri"/>
          <w:bCs/>
          <w:color w:val="000000"/>
          <w:sz w:val="22"/>
          <w:szCs w:val="22"/>
        </w:rPr>
        <w:t xml:space="preserve">  quienes solicitan</w:t>
      </w:r>
      <w:r w:rsidRPr="009E0E7B">
        <w:rPr>
          <w:rFonts w:ascii="Calibri" w:hAnsi="Calibri" w:cs="Calibri"/>
          <w:bCs/>
          <w:color w:val="000000"/>
          <w:sz w:val="22"/>
          <w:szCs w:val="22"/>
        </w:rPr>
        <w:t xml:space="preserve"> informes relativos al c</w:t>
      </w:r>
      <w:r>
        <w:rPr>
          <w:rFonts w:ascii="Calibri" w:hAnsi="Calibri" w:cs="Calibri"/>
          <w:bCs/>
          <w:color w:val="000000"/>
          <w:sz w:val="22"/>
          <w:szCs w:val="22"/>
        </w:rPr>
        <w:t>omplejo penitenciario federal “D</w:t>
      </w:r>
      <w:r w:rsidRPr="009E0E7B">
        <w:rPr>
          <w:rFonts w:ascii="Calibri" w:hAnsi="Calibri" w:cs="Calibri"/>
          <w:bCs/>
          <w:color w:val="000000"/>
          <w:sz w:val="22"/>
          <w:szCs w:val="22"/>
        </w:rPr>
        <w:t>evoto” y su entorno inmediato</w:t>
      </w:r>
      <w:r w:rsidRPr="009E0E7B">
        <w:rPr>
          <w:rFonts w:ascii="Calibri" w:hAnsi="Calibri" w:cs="Calibri"/>
          <w:color w:val="000000"/>
          <w:sz w:val="22"/>
          <w:szCs w:val="22"/>
        </w:rPr>
        <w:t>. y;</w:t>
      </w:r>
    </w:p>
    <w:p w:rsidR="00CB13FF" w:rsidRPr="009E0E7B" w:rsidRDefault="00CB13FF" w:rsidP="00CB13FF">
      <w:pPr>
        <w:pStyle w:val="normal0"/>
        <w:pBdr>
          <w:top w:val="nil"/>
          <w:left w:val="nil"/>
          <w:bottom w:val="nil"/>
          <w:right w:val="nil"/>
          <w:between w:val="nil"/>
        </w:pBdr>
        <w:spacing w:line="360" w:lineRule="auto"/>
        <w:ind w:firstLine="709"/>
        <w:jc w:val="left"/>
        <w:rPr>
          <w:rFonts w:ascii="Calibri" w:hAnsi="Calibri" w:cs="Calibri"/>
          <w:color w:val="000000"/>
          <w:sz w:val="22"/>
          <w:szCs w:val="22"/>
        </w:rPr>
      </w:pPr>
      <w:r w:rsidRPr="009E0E7B">
        <w:rPr>
          <w:rFonts w:ascii="Calibri" w:hAnsi="Calibri" w:cs="Calibri"/>
          <w:color w:val="000000"/>
          <w:sz w:val="22"/>
          <w:szCs w:val="22"/>
        </w:rPr>
        <w:br/>
      </w:r>
      <w:r w:rsidRPr="009E0E7B">
        <w:rPr>
          <w:rFonts w:ascii="Calibri" w:hAnsi="Calibri" w:cs="Calibri"/>
          <w:b/>
          <w:bCs/>
          <w:color w:val="000000"/>
          <w:sz w:val="22"/>
          <w:szCs w:val="22"/>
        </w:rPr>
        <w:t>Considerando:</w:t>
      </w:r>
      <w:r w:rsidRPr="009E0E7B">
        <w:rPr>
          <w:rFonts w:ascii="Calibri" w:hAnsi="Calibri" w:cs="Calibri"/>
          <w:sz w:val="22"/>
          <w:szCs w:val="22"/>
        </w:rPr>
        <w:br/>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Que el Complejo Penitenciario Federal “Devoto” constituye una de las piezas urbanas más singulares y estratégicas de la Ciudad Autónoma de Buenos Aires, no solo por su escala y localización, sino también por el impacto que su eventual desafectación y relocalización podrían generar sobre el tejido urbano circundante.</w:t>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Que al respecto, el área delimitada en el presente proyecto parece evidenciar transformaciones que ameritan un análisis riguroso.</w:t>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 xml:space="preserve">Que en ese marco, la evolución de la estructura parcelaria, los cambios en la titularidad del suelo, los procesos de concentración dominial y las variaciones en los usos del suelo constituyen indicadores clave para detectar posibles procesos de valorización anticipada, muchas veces asociados a expectativas de cambio normativo o de uso. </w:t>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Que asimismo, el análisis del comportamiento del mercado inmobiliario en el entorno del complejo —expresado en la evolución de los valores del suelo, la intensidad de las operaciones y las tipologías predominantes— permitiría identificar tendencias que podrían estar configurando escenarios de captura privada de rentas urbanas generadas por decisiones públicas aún no explicitadas</w:t>
      </w:r>
      <w:r w:rsidRPr="009E0E7B">
        <w:rPr>
          <w:rFonts w:ascii="Calibri" w:hAnsi="Calibri" w:cs="Calibri"/>
          <w:b/>
          <w:bCs/>
        </w:rPr>
        <w:t>.</w:t>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Que por ello, resulta imprescindible que el Poder Ejecutivo informe no solo los diagnósticos existentes, sino también las metodologías utilizadas para estimar la valorización inducida y los instrumentos previstos para su recuperación en favor del interés público.</w:t>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Que la planificación de un área de estas características exige, además, contemplar escenarios alternativos de desarrollo urbano, analizando sus impactos en términos de densidad, usos, movilidad, infraestructura y mercado de suelo. La construcción de estos escenarios debe estar basada en información objetiva, pero también en procesos participativos que garanticen la inclusión de las comunidades locales en la toma de decisiones.</w:t>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 xml:space="preserve">Que finalmente, el acceso a la información pública en materia urbana constituye un pilar fundamental para el control ciudadano y la calidad institucional. Sin datos precisos sobre la dinámica territorial, la valorización del suelo y los instrumentos de gestión previstos, resulta imposible evaluar la pertinencia, equidad y sustentabilidad de las decisiones públicas y mucho menos avanzar en acciones propositivas que promuevan la construcción de consensos sobre la </w:t>
      </w:r>
      <w:r w:rsidRPr="009E0E7B">
        <w:rPr>
          <w:rFonts w:ascii="Calibri" w:hAnsi="Calibri" w:cs="Calibri"/>
        </w:rPr>
        <w:lastRenderedPageBreak/>
        <w:t>ciudad deseada, teniendo en cuenta los objetivos establecidos en el Artículo 3° del Plan Urbano Ambiental.</w:t>
      </w:r>
    </w:p>
    <w:p w:rsidR="00CB13FF" w:rsidRPr="009E0E7B" w:rsidRDefault="00CB13FF" w:rsidP="00CB13FF">
      <w:pPr>
        <w:spacing w:line="360" w:lineRule="auto"/>
        <w:ind w:firstLine="709"/>
        <w:jc w:val="both"/>
        <w:rPr>
          <w:rFonts w:ascii="Calibri" w:hAnsi="Calibri" w:cs="Calibri"/>
        </w:rPr>
      </w:pPr>
      <w:r w:rsidRPr="009E0E7B">
        <w:rPr>
          <w:rFonts w:ascii="Calibri" w:hAnsi="Calibri" w:cs="Calibri"/>
        </w:rPr>
        <w:t xml:space="preserve">Que por todo lo expuesto, el presente proyecto de resolución tiene por objeto requerir al Poder Ejecutivo información integral, detallada y actualizada que permita comprender los procesos en curso y anticipar los efectos de una eventual transformación urbana de gran escala, garantizando que la misma se desarrolle en función del interés colectivo y no de lógicas especulativas. </w:t>
      </w:r>
    </w:p>
    <w:p w:rsidR="00CB13FF" w:rsidRPr="009E0E7B" w:rsidRDefault="00CB13FF" w:rsidP="00CB13FF">
      <w:pPr>
        <w:spacing w:line="360" w:lineRule="auto"/>
        <w:rPr>
          <w:rFonts w:ascii="Calibri" w:hAnsi="Calibri" w:cs="Calibri"/>
          <w:lang w:val="es-MX"/>
        </w:rPr>
      </w:pPr>
    </w:p>
    <w:p w:rsidR="00CB13FF" w:rsidRPr="009E0E7B" w:rsidRDefault="00CB13FF" w:rsidP="00CB13FF">
      <w:pPr>
        <w:ind w:firstLine="709"/>
        <w:rPr>
          <w:rFonts w:ascii="Calibri" w:eastAsia="Times New Roman" w:hAnsi="Calibri" w:cs="Calibri"/>
          <w:color w:val="000000"/>
        </w:rPr>
      </w:pPr>
      <w:r w:rsidRPr="009E0E7B">
        <w:rPr>
          <w:rFonts w:ascii="Calibri" w:eastAsia="Times New Roman" w:hAnsi="Calibri" w:cs="Calibri"/>
          <w:color w:val="000000"/>
        </w:rPr>
        <w:t xml:space="preserve">Por </w:t>
      </w:r>
      <w:r>
        <w:rPr>
          <w:rFonts w:ascii="Calibri" w:eastAsia="Times New Roman" w:hAnsi="Calibri" w:cs="Calibri"/>
          <w:color w:val="000000"/>
        </w:rPr>
        <w:t>lo antes mencionado</w:t>
      </w:r>
      <w:r w:rsidRPr="009E0E7B">
        <w:rPr>
          <w:rFonts w:ascii="Calibri" w:eastAsia="Times New Roman" w:hAnsi="Calibri" w:cs="Calibri"/>
          <w:color w:val="000000"/>
        </w:rPr>
        <w:t xml:space="preserve"> esta Comisión de Planeamiento Urbano aconseja la sanción de la siguiente:</w:t>
      </w:r>
    </w:p>
    <w:p w:rsidR="00CB13FF" w:rsidRPr="009E0E7B" w:rsidRDefault="00CB13FF" w:rsidP="00CB13FF">
      <w:pPr>
        <w:spacing w:line="360" w:lineRule="auto"/>
        <w:ind w:firstLine="709"/>
        <w:jc w:val="center"/>
        <w:rPr>
          <w:rFonts w:ascii="Calibri" w:eastAsia="Times New Roman" w:hAnsi="Calibri" w:cs="Calibri"/>
          <w:color w:val="000000"/>
        </w:rPr>
      </w:pPr>
      <w:r w:rsidRPr="009E0E7B">
        <w:rPr>
          <w:rFonts w:ascii="Calibri" w:eastAsia="Times New Roman" w:hAnsi="Calibri" w:cs="Calibri"/>
          <w:color w:val="000000"/>
        </w:rPr>
        <w:br/>
      </w:r>
      <w:r w:rsidRPr="009E0E7B">
        <w:rPr>
          <w:rFonts w:ascii="Calibri" w:eastAsia="Times New Roman" w:hAnsi="Calibri" w:cs="Calibri"/>
          <w:color w:val="000000"/>
        </w:rPr>
        <w:br/>
      </w:r>
      <w:r w:rsidRPr="009E0E7B">
        <w:rPr>
          <w:rFonts w:ascii="Calibri" w:eastAsia="Times New Roman" w:hAnsi="Calibri" w:cs="Calibri"/>
          <w:b/>
          <w:color w:val="000000"/>
        </w:rPr>
        <w:t>Resolución</w:t>
      </w:r>
      <w:r w:rsidRPr="009E0E7B">
        <w:rPr>
          <w:rFonts w:ascii="Calibri" w:eastAsia="Times New Roman" w:hAnsi="Calibri" w:cs="Calibri"/>
          <w:color w:val="000000"/>
        </w:rPr>
        <w:br/>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b/>
          <w:bCs/>
          <w:sz w:val="22"/>
          <w:szCs w:val="22"/>
        </w:rPr>
        <w:t xml:space="preserve">Artículo 1°.- </w:t>
      </w:r>
      <w:r w:rsidRPr="009E0E7B">
        <w:rPr>
          <w:rFonts w:ascii="Calibri" w:hAnsi="Calibri" w:cs="Calibri"/>
          <w:sz w:val="22"/>
          <w:szCs w:val="22"/>
        </w:rPr>
        <w:t xml:space="preserve">El Poder Ejecutivo informará, a través de los organismos correspondientes, en un plazo máximo de 30 (treinta) días corridos contados a partir de la recepción de la presente, los siguientes </w:t>
      </w:r>
      <w:r w:rsidRPr="009E0E7B">
        <w:rPr>
          <w:rFonts w:ascii="Calibri" w:hAnsi="Calibri" w:cs="Calibri"/>
          <w:b/>
          <w:bCs/>
          <w:sz w:val="22"/>
          <w:szCs w:val="22"/>
        </w:rPr>
        <w:t>aspectos relativos al Complejo Penitenciario Federal “Devoto” y su entorno inmediato</w:t>
      </w:r>
      <w:r w:rsidRPr="009E0E7B">
        <w:rPr>
          <w:rFonts w:ascii="Calibri" w:hAnsi="Calibri" w:cs="Calibri"/>
          <w:sz w:val="22"/>
          <w:szCs w:val="22"/>
        </w:rPr>
        <w:t xml:space="preserve">; entendido como el polígono delimitado por el eje de las calles Cervantes, Simbrón, Benito Juárez, Baigorria y nuevamente Cervantes: </w:t>
      </w:r>
    </w:p>
    <w:p w:rsidR="00CB13FF" w:rsidRPr="009E0E7B" w:rsidRDefault="00CB13FF" w:rsidP="00CB13FF">
      <w:pPr>
        <w:pStyle w:val="Default"/>
        <w:spacing w:line="360" w:lineRule="auto"/>
        <w:ind w:firstLine="709"/>
        <w:jc w:val="both"/>
        <w:rPr>
          <w:rFonts w:ascii="Calibri" w:hAnsi="Calibri" w:cs="Calibri"/>
          <w:b/>
          <w:bCs/>
          <w:sz w:val="22"/>
          <w:szCs w:val="22"/>
        </w:rPr>
      </w:pP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b/>
          <w:bCs/>
          <w:sz w:val="22"/>
          <w:szCs w:val="22"/>
        </w:rPr>
        <w:t xml:space="preserve">a) Dinámica urbana: </w:t>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sz w:val="22"/>
          <w:szCs w:val="22"/>
        </w:rPr>
        <w:t xml:space="preserve">Informe y detalle los resultados de los estudios, relevamientos o análisis de dinámica urbana elaborados por el Poder Ejecutivo correspondientes al período 2015–2025, respecto del área definida precedentemente, debiendo incluir como mínimo: </w:t>
      </w:r>
    </w:p>
    <w:p w:rsidR="00CB13FF" w:rsidRPr="009E0E7B" w:rsidRDefault="00CB13FF" w:rsidP="00CB13FF">
      <w:pPr>
        <w:pStyle w:val="Default"/>
        <w:spacing w:line="360" w:lineRule="auto"/>
        <w:ind w:firstLine="709"/>
        <w:jc w:val="both"/>
        <w:rPr>
          <w:rFonts w:ascii="Calibri" w:hAnsi="Calibri" w:cs="Calibri"/>
          <w:i/>
          <w:iCs/>
          <w:sz w:val="22"/>
          <w:szCs w:val="22"/>
        </w:rPr>
      </w:pP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i. Evolución catastral y dominial:</w:t>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Detalle las transformaciones en la estructura parcelaria, incluyendo subdivisiones, unificaciones, cambios de titularidad y tipología de la propiedad (pública/privada), identificando tendencias relevantes durante el período analizado.</w:t>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En particular, informe la evolución dominial de las parcelas frentistas al predio del Complejo Penitenciario Federal “Devoto”, identificando gráficamente/ cromáticamente patrones de concentración dominial y la eventual existencia de parcelas bajo una misma titularidad.</w:t>
      </w:r>
    </w:p>
    <w:p w:rsidR="00CB13FF" w:rsidRPr="009E0E7B" w:rsidRDefault="00CB13FF" w:rsidP="00CB13FF">
      <w:pPr>
        <w:pStyle w:val="Default"/>
        <w:spacing w:line="360" w:lineRule="auto"/>
        <w:ind w:firstLine="709"/>
        <w:jc w:val="both"/>
        <w:rPr>
          <w:rFonts w:ascii="Calibri" w:hAnsi="Calibri" w:cs="Calibri"/>
          <w:i/>
          <w:iCs/>
          <w:sz w:val="22"/>
          <w:szCs w:val="22"/>
        </w:rPr>
      </w:pP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ii. Indicadores del mercado inmobiliario:</w:t>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Evolución de los valores de suelo y de las propiedades, volumen de operaciones, tipologías predominantes, niveles de oferta y demanda y todo otro indicador que permita caracterizar la dinámica del mercado en el área.</w:t>
      </w:r>
    </w:p>
    <w:p w:rsidR="00CB13FF" w:rsidRPr="009E0E7B" w:rsidRDefault="00CB13FF" w:rsidP="00CB13FF">
      <w:pPr>
        <w:pStyle w:val="Default"/>
        <w:spacing w:line="360" w:lineRule="auto"/>
        <w:ind w:firstLine="709"/>
        <w:jc w:val="both"/>
        <w:rPr>
          <w:rFonts w:ascii="Calibri" w:hAnsi="Calibri" w:cs="Calibri"/>
          <w:i/>
          <w:iCs/>
          <w:sz w:val="22"/>
          <w:szCs w:val="22"/>
        </w:rPr>
      </w:pP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iii. Usos del suelo:</w:t>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lastRenderedPageBreak/>
        <w:t>Relevamiento actualizado y evolución de los usos del suelo (residencial, comercial, productivo, institucional, vacante, entre otros), identificando cambios significativos y procesos de sustitución o intensificación.</w:t>
      </w:r>
    </w:p>
    <w:p w:rsidR="00CB13FF" w:rsidRPr="009E0E7B" w:rsidRDefault="00CB13FF" w:rsidP="00CB13FF">
      <w:pPr>
        <w:pStyle w:val="Default"/>
        <w:spacing w:line="360" w:lineRule="auto"/>
        <w:ind w:firstLine="709"/>
        <w:jc w:val="both"/>
        <w:rPr>
          <w:rFonts w:ascii="Calibri" w:hAnsi="Calibri" w:cs="Calibri"/>
          <w:i/>
          <w:iCs/>
          <w:sz w:val="22"/>
          <w:szCs w:val="22"/>
        </w:rPr>
      </w:pP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iv. Actividad constructiva:</w:t>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Cantidad y localización de obras registradas y obras iniciadas, superficie construida, destino de las obras, densidad edificatoria y evolución de los indicadores urbanísticos aplicables.</w:t>
      </w:r>
    </w:p>
    <w:p w:rsidR="00CB13FF" w:rsidRPr="009E0E7B" w:rsidRDefault="00CB13FF" w:rsidP="00CB13FF">
      <w:pPr>
        <w:pStyle w:val="Default"/>
        <w:spacing w:line="360" w:lineRule="auto"/>
        <w:ind w:firstLine="709"/>
        <w:jc w:val="both"/>
        <w:rPr>
          <w:rFonts w:ascii="Calibri" w:hAnsi="Calibri" w:cs="Calibri"/>
          <w:i/>
          <w:iCs/>
          <w:sz w:val="22"/>
          <w:szCs w:val="22"/>
        </w:rPr>
      </w:pP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v. Normativa urbanística:</w:t>
      </w:r>
    </w:p>
    <w:p w:rsidR="00CB13FF" w:rsidRPr="009E0E7B" w:rsidRDefault="00CB13FF" w:rsidP="00CB13FF">
      <w:pPr>
        <w:pStyle w:val="Default"/>
        <w:spacing w:line="360" w:lineRule="auto"/>
        <w:ind w:firstLine="709"/>
        <w:jc w:val="both"/>
        <w:rPr>
          <w:rFonts w:ascii="Calibri" w:hAnsi="Calibri" w:cs="Calibri"/>
          <w:sz w:val="22"/>
          <w:szCs w:val="22"/>
        </w:rPr>
      </w:pPr>
      <w:r w:rsidRPr="009E0E7B">
        <w:rPr>
          <w:rFonts w:ascii="Calibri" w:hAnsi="Calibri" w:cs="Calibri"/>
          <w:i/>
          <w:iCs/>
          <w:sz w:val="22"/>
          <w:szCs w:val="22"/>
        </w:rPr>
        <w:t>Detalle de las modificaciones normativas relevantes —incluyendo el Código Urbanístico y demás disposiciones aplicables—que hayan incidido en el área, evaluando su impacto en las dinámicas urbanas.</w:t>
      </w:r>
    </w:p>
    <w:p w:rsidR="00CB13FF" w:rsidRPr="009E0E7B" w:rsidRDefault="00CB13FF" w:rsidP="00CB13FF">
      <w:pPr>
        <w:pStyle w:val="Default"/>
        <w:spacing w:line="360" w:lineRule="auto"/>
        <w:ind w:firstLine="709"/>
        <w:jc w:val="both"/>
        <w:rPr>
          <w:rFonts w:ascii="Calibri" w:hAnsi="Calibri" w:cs="Calibri"/>
          <w:i/>
          <w:iCs/>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sz w:val="22"/>
          <w:szCs w:val="22"/>
        </w:rPr>
        <w:t>vi. Infraestructura y servicios urbanos:</w:t>
      </w:r>
      <w:r w:rsidRPr="009E0E7B">
        <w:rPr>
          <w:rFonts w:ascii="Calibri" w:hAnsi="Calibri" w:cs="Calibri"/>
          <w:sz w:val="22"/>
          <w:szCs w:val="22"/>
        </w:rPr>
        <w:t xml:space="preserve"> </w:t>
      </w:r>
      <w:r w:rsidRPr="009E0E7B">
        <w:rPr>
          <w:rFonts w:ascii="Calibri" w:hAnsi="Calibri" w:cs="Calibri"/>
          <w:i/>
          <w:iCs/>
          <w:color w:val="auto"/>
          <w:sz w:val="22"/>
          <w:szCs w:val="22"/>
        </w:rPr>
        <w:t>Estado y evolución de la infraestructura urbana (transporte, servicios públicos, equipamientos y espacio público), en relación con los procesos de transformación detectados.</w:t>
      </w:r>
    </w:p>
    <w:p w:rsidR="00CB13FF" w:rsidRPr="009E0E7B" w:rsidRDefault="00CB13FF" w:rsidP="00CB13FF">
      <w:pPr>
        <w:pStyle w:val="Default"/>
        <w:spacing w:line="360" w:lineRule="auto"/>
        <w:ind w:firstLine="709"/>
        <w:jc w:val="both"/>
        <w:rPr>
          <w:rFonts w:ascii="Calibri" w:hAnsi="Calibri" w:cs="Calibri"/>
          <w:b/>
          <w:b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b/>
          <w:bCs/>
          <w:color w:val="auto"/>
          <w:sz w:val="22"/>
          <w:szCs w:val="22"/>
        </w:rPr>
        <w:t xml:space="preserve">b) Análisis prospectivo y valorización del suelo </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color w:val="auto"/>
          <w:sz w:val="22"/>
          <w:szCs w:val="22"/>
        </w:rPr>
        <w:t xml:space="preserve">Informe si se han realizado estudios, relevamientos o análisis vinculados a los eventuales procesos de valorización del suelo —actuales y potenciales— asociados a la futura desafectación y relocalización del Complejo Penitenciario Federal Devoto. </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color w:val="auto"/>
          <w:sz w:val="22"/>
          <w:szCs w:val="22"/>
        </w:rPr>
        <w:t xml:space="preserve">En caso afirmativo, remita los mismos y detalle sus principales resultados, debiendo incluir: </w:t>
      </w:r>
    </w:p>
    <w:p w:rsidR="00CB13FF" w:rsidRPr="009E0E7B" w:rsidRDefault="00CB13FF" w:rsidP="00CB13FF">
      <w:pPr>
        <w:pStyle w:val="Default"/>
        <w:spacing w:line="360" w:lineRule="auto"/>
        <w:ind w:firstLine="709"/>
        <w:jc w:val="both"/>
        <w:rPr>
          <w:rFonts w:ascii="Calibri" w:hAnsi="Calibri" w:cs="Calibri"/>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 Estimación de la valorización inducida:</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Informe si se han realizado estimaciones de la valorización del suelo atribuible a la eventual liberación del predio y a las transformaciones urbanísticas asociadas, diferenciando entre valor actual y valor potencial posterior a la desafectación.</w:t>
      </w:r>
    </w:p>
    <w:p w:rsidR="00CB13FF" w:rsidRPr="009E0E7B" w:rsidRDefault="00CB13FF" w:rsidP="00CB13FF">
      <w:pPr>
        <w:pStyle w:val="Default"/>
        <w:spacing w:line="360" w:lineRule="auto"/>
        <w:ind w:firstLine="709"/>
        <w:jc w:val="both"/>
        <w:rPr>
          <w:rFonts w:ascii="Calibri" w:hAnsi="Calibri" w:cs="Calibri"/>
          <w:i/>
          <w:i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ii. Identificación de beneficiarios de la valorización:</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Identifique los tipos de actores potencialmente beneficiarios de dicha valorización (propietarios de suelo, desarrolladores, inversores, entre otros), discriminando por tipo de tenencia y localización.</w:t>
      </w:r>
    </w:p>
    <w:p w:rsidR="00CB13FF" w:rsidRPr="009E0E7B" w:rsidRDefault="00CB13FF" w:rsidP="00CB13FF">
      <w:pPr>
        <w:pStyle w:val="Default"/>
        <w:spacing w:line="360" w:lineRule="auto"/>
        <w:ind w:firstLine="709"/>
        <w:jc w:val="both"/>
        <w:rPr>
          <w:rFonts w:ascii="Calibri" w:hAnsi="Calibri" w:cs="Calibri"/>
          <w:i/>
          <w:i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iii. Instrumentos de captación de renta urbana:</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Informe qué instrumentos de recuperación o captura de plusvalías urbanas se encuentran previstos, en evaluación o resultarían aplicables, detallando su alcance, criterios de aplicación y estado de implementación.</w:t>
      </w:r>
    </w:p>
    <w:p w:rsidR="00CB13FF" w:rsidRPr="009E0E7B" w:rsidRDefault="00CB13FF" w:rsidP="00CB13FF">
      <w:pPr>
        <w:pStyle w:val="Default"/>
        <w:spacing w:line="360" w:lineRule="auto"/>
        <w:ind w:firstLine="709"/>
        <w:jc w:val="both"/>
        <w:rPr>
          <w:rFonts w:ascii="Calibri" w:hAnsi="Calibri" w:cs="Calibri"/>
          <w:i/>
          <w:i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iv. Escenarios de desarrollo urbano:</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lastRenderedPageBreak/>
        <w:t>Informe la existencia de escenarios prospectivos de desarrollo para el predio y su entorno y, en caso afirmativo, detállelos, indicando: escenarios contemplados, instrumentos e indicadores urbanísticos aplicados, criterios de preservación patrimonial y evaluación de los eventuales efectos sobre el mercado de suelo. Remita en cada caso, los proyectos, diagnósticos, estudios y cualquier otra documentación que los sustenten.</w:t>
      </w:r>
    </w:p>
    <w:p w:rsidR="00CB13FF" w:rsidRPr="009E0E7B" w:rsidRDefault="00CB13FF" w:rsidP="00CB13FF">
      <w:pPr>
        <w:pStyle w:val="Default"/>
        <w:spacing w:line="360" w:lineRule="auto"/>
        <w:ind w:firstLine="709"/>
        <w:jc w:val="both"/>
        <w:rPr>
          <w:rFonts w:ascii="Calibri" w:hAnsi="Calibri" w:cs="Calibri"/>
          <w:i/>
          <w:i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Asimismo, informe si se han evaluado propuestas vecinales que promueven la generación de un parque público bajo parámetros de zonificación / protección UP (Urbanización Parque), detallando su grado de análisis y factibilidad.</w:t>
      </w:r>
    </w:p>
    <w:p w:rsidR="00CB13FF" w:rsidRPr="009E0E7B" w:rsidRDefault="00CB13FF" w:rsidP="00CB13FF">
      <w:pPr>
        <w:pStyle w:val="Default"/>
        <w:spacing w:line="360" w:lineRule="auto"/>
        <w:ind w:firstLine="709"/>
        <w:jc w:val="both"/>
        <w:rPr>
          <w:rFonts w:ascii="Calibri" w:hAnsi="Calibri" w:cs="Calibri"/>
          <w:i/>
          <w:i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v. Destino de los recursos generados:</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Informe si se prevé la afectación específica de los recursos derivados de la valorización del suelo a políticas públicas urbanas, tales como vivienda, infraestructura, espacio público u otras finalidades de interés social.</w:t>
      </w:r>
    </w:p>
    <w:p w:rsidR="00CB13FF" w:rsidRPr="009E0E7B" w:rsidRDefault="00CB13FF" w:rsidP="00CB13FF">
      <w:pPr>
        <w:pStyle w:val="Default"/>
        <w:spacing w:line="360" w:lineRule="auto"/>
        <w:ind w:firstLine="709"/>
        <w:jc w:val="both"/>
        <w:rPr>
          <w:rFonts w:ascii="Calibri" w:hAnsi="Calibri" w:cs="Calibri"/>
          <w:i/>
          <w:i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vi. Criterios de equidad territorial:</w:t>
      </w:r>
      <w:r w:rsidRPr="009E0E7B">
        <w:rPr>
          <w:rFonts w:ascii="Calibri" w:hAnsi="Calibri" w:cs="Calibri"/>
          <w:sz w:val="22"/>
          <w:szCs w:val="22"/>
        </w:rPr>
        <w:t xml:space="preserve"> </w:t>
      </w:r>
      <w:r w:rsidRPr="009E0E7B">
        <w:rPr>
          <w:rFonts w:ascii="Calibri" w:hAnsi="Calibri" w:cs="Calibri"/>
          <w:i/>
          <w:iCs/>
          <w:color w:val="auto"/>
          <w:sz w:val="22"/>
          <w:szCs w:val="22"/>
        </w:rPr>
        <w:t>Explique de qué manera se contemplan criterios de redistribución y equidad urbana en la gestión de la valorización generada, a fin de evitar procesos de concentración de beneficios.</w:t>
      </w:r>
    </w:p>
    <w:p w:rsidR="00CB13FF" w:rsidRPr="009E0E7B" w:rsidRDefault="00CB13FF" w:rsidP="00CB13FF">
      <w:pPr>
        <w:pStyle w:val="Default"/>
        <w:spacing w:line="360" w:lineRule="auto"/>
        <w:ind w:firstLine="709"/>
        <w:jc w:val="both"/>
        <w:rPr>
          <w:rFonts w:ascii="Calibri" w:hAnsi="Calibri" w:cs="Calibri"/>
          <w:b/>
          <w:bCs/>
          <w:color w:val="auto"/>
          <w:sz w:val="22"/>
          <w:szCs w:val="22"/>
        </w:rPr>
      </w:pP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b/>
          <w:bCs/>
          <w:color w:val="auto"/>
          <w:sz w:val="22"/>
          <w:szCs w:val="22"/>
        </w:rPr>
        <w:t xml:space="preserve">c) Participación Ciudadana </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color w:val="auto"/>
          <w:sz w:val="22"/>
          <w:szCs w:val="22"/>
        </w:rPr>
        <w:t xml:space="preserve">Informe los mecanismos de participación ciudadana implementados o previstos en relación con la futura desafectación y eventual desarrollo del predio del Complejo Penitenciario Federal “Devoto”, detallando: </w:t>
      </w:r>
    </w:p>
    <w:p w:rsidR="00CB13FF" w:rsidRPr="009E0E7B" w:rsidRDefault="00CB13FF" w:rsidP="00CB13FF">
      <w:pPr>
        <w:pStyle w:val="Default"/>
        <w:spacing w:line="360" w:lineRule="auto"/>
        <w:ind w:firstLine="709"/>
        <w:jc w:val="both"/>
        <w:rPr>
          <w:rFonts w:ascii="Calibri" w:hAnsi="Calibri" w:cs="Calibri"/>
          <w:color w:val="auto"/>
          <w:sz w:val="22"/>
          <w:szCs w:val="22"/>
        </w:rPr>
      </w:pPr>
    </w:p>
    <w:p w:rsidR="00CB13FF" w:rsidRPr="009E0E7B" w:rsidRDefault="00CB13FF" w:rsidP="00CB13FF">
      <w:pPr>
        <w:pStyle w:val="Default"/>
        <w:spacing w:after="31"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 xml:space="preserve">i. Instancias de consulta o participación realizadas con vecinos, organizaciones sociales, instituciones y actores territoriales. </w:t>
      </w:r>
    </w:p>
    <w:p w:rsidR="00CB13FF" w:rsidRPr="009E0E7B" w:rsidRDefault="00CB13FF" w:rsidP="00CB13FF">
      <w:pPr>
        <w:pStyle w:val="Default"/>
        <w:spacing w:after="31"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 xml:space="preserve">ii. Resultados, conclusiones y grado de incidencia de dichas instancias en la toma de decisiones. </w:t>
      </w:r>
    </w:p>
    <w:p w:rsidR="00CB13FF" w:rsidRPr="009E0E7B" w:rsidRDefault="00CB13FF" w:rsidP="00CB13FF">
      <w:pPr>
        <w:pStyle w:val="Default"/>
        <w:spacing w:line="360" w:lineRule="auto"/>
        <w:ind w:firstLine="709"/>
        <w:jc w:val="both"/>
        <w:rPr>
          <w:rFonts w:ascii="Calibri" w:hAnsi="Calibri" w:cs="Calibri"/>
          <w:color w:val="auto"/>
          <w:sz w:val="22"/>
          <w:szCs w:val="22"/>
        </w:rPr>
      </w:pPr>
      <w:r w:rsidRPr="009E0E7B">
        <w:rPr>
          <w:rFonts w:ascii="Calibri" w:hAnsi="Calibri" w:cs="Calibri"/>
          <w:i/>
          <w:iCs/>
          <w:color w:val="auto"/>
          <w:sz w:val="22"/>
          <w:szCs w:val="22"/>
        </w:rPr>
        <w:t xml:space="preserve">iii. Mecanismos previstos para garantizar la participación efectiva en las etapas futuras del proceso. </w:t>
      </w:r>
    </w:p>
    <w:p w:rsidR="00CB13FF" w:rsidRPr="009E0E7B" w:rsidRDefault="00CB13FF" w:rsidP="00CB13FF">
      <w:pPr>
        <w:pStyle w:val="paragraph"/>
        <w:spacing w:before="0" w:beforeAutospacing="0" w:after="0" w:afterAutospacing="0" w:line="360" w:lineRule="auto"/>
        <w:ind w:firstLine="709"/>
        <w:textAlignment w:val="baseline"/>
        <w:rPr>
          <w:rFonts w:ascii="Calibri" w:hAnsi="Calibri" w:cs="Calibri"/>
          <w:sz w:val="22"/>
          <w:szCs w:val="22"/>
        </w:rPr>
      </w:pPr>
      <w:r w:rsidRPr="009E0E7B">
        <w:rPr>
          <w:rFonts w:ascii="Calibri" w:hAnsi="Calibri" w:cs="Calibri"/>
          <w:sz w:val="22"/>
          <w:szCs w:val="22"/>
        </w:rPr>
        <w:t>Artículo 2°.- Comuníquese, etc.</w:t>
      </w:r>
      <w:r w:rsidRPr="009E0E7B">
        <w:rPr>
          <w:rFonts w:ascii="Calibri" w:hAnsi="Calibri" w:cs="Calibri"/>
          <w:sz w:val="22"/>
          <w:szCs w:val="22"/>
        </w:rPr>
        <w:br/>
      </w:r>
      <w:r w:rsidRPr="009E0E7B">
        <w:rPr>
          <w:rFonts w:ascii="Calibri" w:hAnsi="Calibri" w:cs="Calibri"/>
          <w:sz w:val="22"/>
          <w:szCs w:val="22"/>
        </w:rPr>
        <w:br/>
      </w:r>
      <w:r w:rsidRPr="009E0E7B">
        <w:rPr>
          <w:rStyle w:val="normaltextrun"/>
          <w:rFonts w:ascii="Calibri" w:eastAsiaTheme="majorEastAsia" w:hAnsi="Calibri" w:cs="Calibri"/>
          <w:sz w:val="22"/>
          <w:szCs w:val="22"/>
          <w:lang w:val="es-AR"/>
        </w:rPr>
        <w:t>Sala de Comisión</w:t>
      </w:r>
      <w:r w:rsidRPr="009E0E7B">
        <w:rPr>
          <w:rStyle w:val="eop"/>
          <w:rFonts w:ascii="Calibri" w:eastAsiaTheme="majorEastAsia" w:hAnsi="Calibri" w:cs="Calibri"/>
          <w:sz w:val="22"/>
          <w:szCs w:val="22"/>
        </w:rPr>
        <w:t> </w:t>
      </w:r>
      <w:r w:rsidRPr="009E0E7B">
        <w:rPr>
          <w:rStyle w:val="eop"/>
          <w:rFonts w:ascii="Calibri" w:hAnsi="Calibri" w:cs="Calibri"/>
          <w:sz w:val="22"/>
          <w:szCs w:val="22"/>
        </w:rPr>
        <w:t xml:space="preserve"> </w:t>
      </w:r>
      <w:r>
        <w:rPr>
          <w:rStyle w:val="eop"/>
          <w:rFonts w:ascii="Calibri" w:hAnsi="Calibri" w:cs="Calibri"/>
          <w:sz w:val="22"/>
          <w:szCs w:val="22"/>
        </w:rPr>
        <w:t xml:space="preserve">08 </w:t>
      </w:r>
      <w:r w:rsidRPr="009E0E7B">
        <w:rPr>
          <w:rStyle w:val="eop"/>
          <w:rFonts w:ascii="Calibri" w:hAnsi="Calibri" w:cs="Calibri"/>
          <w:sz w:val="22"/>
          <w:szCs w:val="22"/>
        </w:rPr>
        <w:t xml:space="preserve"> de </w:t>
      </w:r>
      <w:r>
        <w:rPr>
          <w:rStyle w:val="eop"/>
          <w:rFonts w:ascii="Calibri" w:hAnsi="Calibri" w:cs="Calibri"/>
          <w:sz w:val="22"/>
          <w:szCs w:val="22"/>
        </w:rPr>
        <w:t xml:space="preserve">Octubre </w:t>
      </w:r>
      <w:r w:rsidRPr="009E0E7B">
        <w:rPr>
          <w:rStyle w:val="eop"/>
          <w:rFonts w:ascii="Calibri" w:hAnsi="Calibri" w:cs="Calibri"/>
          <w:sz w:val="22"/>
          <w:szCs w:val="22"/>
        </w:rPr>
        <w:t xml:space="preserve"> de 2026</w:t>
      </w:r>
    </w:p>
    <w:p w:rsidR="00CB13FF" w:rsidRPr="009E0E7B" w:rsidRDefault="00CB13FF" w:rsidP="00CB13FF">
      <w:pPr>
        <w:spacing w:line="360" w:lineRule="auto"/>
        <w:rPr>
          <w:rStyle w:val="normaltextrun"/>
          <w:rFonts w:ascii="Calibri" w:eastAsiaTheme="majorEastAsia" w:hAnsi="Calibri" w:cs="Calibri"/>
        </w:rPr>
      </w:pPr>
      <w:r w:rsidRPr="009E0E7B">
        <w:rPr>
          <w:rStyle w:val="normaltextrun"/>
          <w:rFonts w:ascii="Calibri" w:eastAsiaTheme="majorEastAsia" w:hAnsi="Calibri" w:cs="Calibri"/>
        </w:rPr>
        <w:t>Por la Comisión de Planeamiento Urbano</w:t>
      </w:r>
    </w:p>
    <w:p w:rsidR="00CB13FF" w:rsidRDefault="00CB13FF" w:rsidP="00CB13FF">
      <w:pPr>
        <w:jc w:val="center"/>
        <w:rPr>
          <w:rFonts w:ascii="Calibri" w:hAnsi="Calibri" w:cs="Calibri"/>
        </w:rPr>
      </w:pPr>
      <w:r w:rsidRPr="009E0E7B">
        <w:rPr>
          <w:rStyle w:val="normaltextrun"/>
          <w:rFonts w:ascii="Calibri" w:eastAsiaTheme="majorEastAsia" w:hAnsi="Calibri" w:cs="Calibri"/>
        </w:rPr>
        <w:br/>
      </w:r>
      <w:r w:rsidRPr="009E0E7B">
        <w:rPr>
          <w:rStyle w:val="normaltextrun"/>
          <w:rFonts w:ascii="Calibri" w:eastAsiaTheme="majorEastAsia" w:hAnsi="Calibri" w:cs="Calibri"/>
        </w:rPr>
        <w:br/>
      </w:r>
    </w:p>
    <w:p w:rsidR="00CB13FF" w:rsidRDefault="00CB13FF" w:rsidP="00CB13FF">
      <w:pPr>
        <w:jc w:val="center"/>
        <w:rPr>
          <w:rFonts w:ascii="Calibri" w:hAnsi="Calibri" w:cs="Calibri"/>
        </w:rPr>
      </w:pPr>
    </w:p>
    <w:p w:rsidR="00CB13FF" w:rsidRPr="009E0E7B" w:rsidRDefault="00CB13FF" w:rsidP="00CB13FF">
      <w:pPr>
        <w:jc w:val="center"/>
        <w:rPr>
          <w:rFonts w:ascii="Calibri" w:hAnsi="Calibri" w:cs="Calibri"/>
        </w:rPr>
      </w:pPr>
      <w:r w:rsidRPr="009E0E7B">
        <w:rPr>
          <w:rFonts w:ascii="Calibri" w:hAnsi="Calibri" w:cs="Calibri"/>
        </w:rPr>
        <w:t>Edgardo Alifraco</w:t>
      </w:r>
    </w:p>
    <w:p w:rsidR="00CB13FF" w:rsidRPr="009E0E7B" w:rsidRDefault="00CB13FF" w:rsidP="00CB13FF">
      <w:pPr>
        <w:jc w:val="center"/>
        <w:rPr>
          <w:rFonts w:ascii="Calibri" w:hAnsi="Calibri" w:cs="Calibri"/>
        </w:rPr>
      </w:pPr>
      <w:r w:rsidRPr="009E0E7B">
        <w:rPr>
          <w:rFonts w:ascii="Calibri" w:hAnsi="Calibri" w:cs="Calibri"/>
        </w:rPr>
        <w:t>Presidente</w:t>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CB13FF" w:rsidRPr="009E0E7B" w:rsidTr="009C4007">
        <w:trPr>
          <w:trHeight w:val="1007"/>
        </w:trPr>
        <w:tc>
          <w:tcPr>
            <w:tcW w:w="4322" w:type="dxa"/>
          </w:tcPr>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Rossen, Bárbara</w:t>
            </w:r>
          </w:p>
          <w:p w:rsidR="00CB13FF" w:rsidRPr="009E0E7B" w:rsidRDefault="00CB13FF" w:rsidP="009C4007">
            <w:pPr>
              <w:jc w:val="center"/>
              <w:rPr>
                <w:rFonts w:ascii="Calibri" w:hAnsi="Calibri" w:cs="Calibri"/>
                <w:color w:val="000000"/>
              </w:rPr>
            </w:pPr>
            <w:r w:rsidRPr="009E0E7B">
              <w:rPr>
                <w:rFonts w:ascii="Calibri" w:hAnsi="Calibri" w:cs="Calibri"/>
                <w:color w:val="000000"/>
              </w:rPr>
              <w:t>Vicepresidente 1ra</w:t>
            </w:r>
          </w:p>
        </w:tc>
        <w:tc>
          <w:tcPr>
            <w:tcW w:w="4322" w:type="dxa"/>
          </w:tcPr>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 xml:space="preserve">Imas Silvia </w:t>
            </w:r>
          </w:p>
          <w:p w:rsidR="00CB13FF" w:rsidRPr="009E0E7B" w:rsidRDefault="00CB13FF" w:rsidP="009C4007">
            <w:pPr>
              <w:jc w:val="center"/>
              <w:rPr>
                <w:rFonts w:ascii="Calibri" w:hAnsi="Calibri" w:cs="Calibri"/>
                <w:color w:val="000000"/>
              </w:rPr>
            </w:pPr>
            <w:r w:rsidRPr="009E0E7B">
              <w:rPr>
                <w:rFonts w:ascii="Calibri" w:hAnsi="Calibri" w:cs="Calibri"/>
                <w:color w:val="000000"/>
              </w:rPr>
              <w:t>Vicepresidente 2do</w:t>
            </w:r>
          </w:p>
        </w:tc>
      </w:tr>
      <w:tr w:rsidR="00CB13FF" w:rsidRPr="009E0E7B" w:rsidTr="009C4007">
        <w:trPr>
          <w:trHeight w:val="490"/>
        </w:trPr>
        <w:tc>
          <w:tcPr>
            <w:tcW w:w="4322" w:type="dxa"/>
          </w:tcPr>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Fernandez Juan Ignacio</w:t>
            </w:r>
          </w:p>
        </w:tc>
        <w:tc>
          <w:tcPr>
            <w:tcW w:w="4322" w:type="dxa"/>
          </w:tcPr>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Barroetaveña Matias</w:t>
            </w:r>
          </w:p>
        </w:tc>
      </w:tr>
      <w:tr w:rsidR="00CB13FF" w:rsidRPr="009E0E7B" w:rsidTr="009C4007">
        <w:trPr>
          <w:trHeight w:val="490"/>
        </w:trPr>
        <w:tc>
          <w:tcPr>
            <w:tcW w:w="4322" w:type="dxa"/>
          </w:tcPr>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Freire Victoria</w:t>
            </w:r>
          </w:p>
        </w:tc>
        <w:tc>
          <w:tcPr>
            <w:tcW w:w="4322" w:type="dxa"/>
          </w:tcPr>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Grillo Alejandro</w:t>
            </w:r>
          </w:p>
        </w:tc>
      </w:tr>
    </w:tbl>
    <w:p w:rsidR="00CB13FF" w:rsidRPr="009E0E7B" w:rsidRDefault="00CB13FF" w:rsidP="00CB13FF">
      <w:pPr>
        <w:rPr>
          <w:rFonts w:ascii="Calibri" w:hAnsi="Calibri" w:cs="Calibri"/>
          <w:color w:val="000000"/>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CB13FF" w:rsidRPr="009E0E7B" w:rsidTr="009C4007">
        <w:tc>
          <w:tcPr>
            <w:tcW w:w="4322" w:type="dxa"/>
          </w:tcPr>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tc>
        <w:tc>
          <w:tcPr>
            <w:tcW w:w="4322" w:type="dxa"/>
          </w:tcPr>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Modarelli Juan Pablo</w:t>
            </w:r>
          </w:p>
        </w:tc>
      </w:tr>
      <w:tr w:rsidR="00CB13FF" w:rsidRPr="009E0E7B" w:rsidTr="009C4007">
        <w:tc>
          <w:tcPr>
            <w:tcW w:w="4322" w:type="dxa"/>
          </w:tcPr>
          <w:p w:rsidR="00CB13FF" w:rsidRPr="009E0E7B" w:rsidRDefault="00CB13FF" w:rsidP="009C4007">
            <w:pPr>
              <w:jc w:val="center"/>
              <w:rPr>
                <w:rFonts w:ascii="Calibri" w:hAnsi="Calibri" w:cs="Calibri"/>
                <w:color w:val="000000"/>
              </w:rPr>
            </w:pPr>
            <w:r w:rsidRPr="009E0E7B">
              <w:rPr>
                <w:rFonts w:ascii="Calibri" w:hAnsi="Calibri" w:cs="Calibri"/>
                <w:color w:val="000000"/>
              </w:rPr>
              <w:t>Mollard Maria Fernanda</w:t>
            </w:r>
          </w:p>
        </w:tc>
        <w:tc>
          <w:tcPr>
            <w:tcW w:w="4322" w:type="dxa"/>
          </w:tcPr>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Nagata Sebastian</w:t>
            </w:r>
          </w:p>
        </w:tc>
      </w:tr>
      <w:tr w:rsidR="00CB13FF" w:rsidRPr="009E0E7B" w:rsidTr="009C4007">
        <w:tc>
          <w:tcPr>
            <w:tcW w:w="4322" w:type="dxa"/>
          </w:tcPr>
          <w:p w:rsidR="00CB13FF" w:rsidRPr="009E0E7B" w:rsidRDefault="00CB13FF" w:rsidP="009C4007">
            <w:pPr>
              <w:jc w:val="center"/>
              <w:rPr>
                <w:rFonts w:ascii="Calibri" w:hAnsi="Calibri" w:cs="Calibri"/>
                <w:color w:val="000000"/>
              </w:rPr>
            </w:pPr>
            <w:r w:rsidRPr="009E0E7B">
              <w:rPr>
                <w:rFonts w:ascii="Calibri" w:hAnsi="Calibri" w:cs="Calibri"/>
                <w:color w:val="000000"/>
              </w:rPr>
              <w:t>Neira Claudia</w:t>
            </w:r>
          </w:p>
        </w:tc>
        <w:tc>
          <w:tcPr>
            <w:tcW w:w="4322" w:type="dxa"/>
          </w:tcPr>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Parera Ignacio</w:t>
            </w:r>
          </w:p>
        </w:tc>
      </w:tr>
      <w:tr w:rsidR="00CB13FF" w:rsidRPr="009E0E7B" w:rsidTr="009C4007">
        <w:tc>
          <w:tcPr>
            <w:tcW w:w="4322" w:type="dxa"/>
          </w:tcPr>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Thourte Manuela</w:t>
            </w:r>
          </w:p>
        </w:tc>
        <w:tc>
          <w:tcPr>
            <w:tcW w:w="4322" w:type="dxa"/>
          </w:tcPr>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Pr="009E0E7B" w:rsidRDefault="00CB13FF" w:rsidP="009C4007">
            <w:pP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Default="00CB13FF" w:rsidP="009C4007">
            <w:pPr>
              <w:jc w:val="center"/>
              <w:rPr>
                <w:rFonts w:ascii="Calibri" w:hAnsi="Calibri" w:cs="Calibri"/>
                <w:color w:val="000000"/>
              </w:rPr>
            </w:pPr>
          </w:p>
          <w:p w:rsidR="00CB13FF" w:rsidRPr="009E0E7B" w:rsidRDefault="00CB13FF" w:rsidP="009C4007">
            <w:pPr>
              <w:jc w:val="center"/>
              <w:rPr>
                <w:rFonts w:ascii="Calibri" w:hAnsi="Calibri" w:cs="Calibri"/>
                <w:color w:val="000000"/>
              </w:rPr>
            </w:pPr>
            <w:r w:rsidRPr="009E0E7B">
              <w:rPr>
                <w:rFonts w:ascii="Calibri" w:hAnsi="Calibri" w:cs="Calibri"/>
                <w:color w:val="000000"/>
              </w:rPr>
              <w:t>Villafruela Gimena</w:t>
            </w:r>
          </w:p>
        </w:tc>
      </w:tr>
    </w:tbl>
    <w:p w:rsidR="00CB13FF" w:rsidRPr="009E0E7B" w:rsidRDefault="00CB13FF" w:rsidP="00CB13FF">
      <w:pPr>
        <w:rPr>
          <w:rFonts w:ascii="Calibri" w:hAnsi="Calibri" w:cs="Calibri"/>
          <w:lang w:val="es-MX"/>
        </w:rPr>
      </w:pPr>
    </w:p>
    <w:p w:rsidR="00CB13FF" w:rsidRPr="009E0E7B" w:rsidRDefault="00CB13FF" w:rsidP="00CB13FF">
      <w:pPr>
        <w:ind w:firstLine="709"/>
        <w:rPr>
          <w:rFonts w:ascii="Calibri" w:hAnsi="Calibri" w:cs="Calibri"/>
          <w:lang w:val="es-MX"/>
        </w:rPr>
      </w:pPr>
    </w:p>
    <w:p w:rsidR="00CB13FF" w:rsidRPr="009E0E7B" w:rsidRDefault="00CB13FF" w:rsidP="00CB13FF">
      <w:pPr>
        <w:pStyle w:val="paragraph"/>
        <w:spacing w:before="0" w:beforeAutospacing="0" w:after="0" w:afterAutospacing="0"/>
        <w:textAlignment w:val="baseline"/>
        <w:rPr>
          <w:rFonts w:ascii="Calibri" w:hAnsi="Calibri" w:cs="Calibri"/>
          <w:sz w:val="22"/>
          <w:szCs w:val="22"/>
        </w:rPr>
      </w:pPr>
    </w:p>
    <w:p w:rsidR="00CB13FF" w:rsidRPr="009E0E7B" w:rsidRDefault="00CB13FF" w:rsidP="00CB13FF">
      <w:pPr>
        <w:jc w:val="center"/>
        <w:rPr>
          <w:rFonts w:ascii="Calibri" w:hAnsi="Calibri" w:cs="Calibri"/>
          <w:color w:val="000000"/>
        </w:rPr>
      </w:pPr>
      <w:r w:rsidRPr="009E0E7B">
        <w:rPr>
          <w:rFonts w:ascii="Calibri" w:hAnsi="Calibri" w:cs="Calibri"/>
          <w:color w:val="000000"/>
        </w:rPr>
        <w:t>Nieto Dario</w:t>
      </w:r>
    </w:p>
    <w:p w:rsidR="00CB13FF" w:rsidRPr="006474A4" w:rsidRDefault="00CB13FF" w:rsidP="00CB13FF">
      <w:pPr>
        <w:rPr>
          <w:rFonts w:ascii="Calibri" w:hAnsi="Calibri" w:cs="Calibri"/>
          <w:lang w:val="es-MX"/>
        </w:rPr>
      </w:pPr>
    </w:p>
    <w:p w:rsidR="00CB13FF" w:rsidRPr="007F142C" w:rsidRDefault="00CB13FF" w:rsidP="00CB13FF">
      <w:pPr>
        <w:pStyle w:val="paragraph"/>
        <w:spacing w:before="0" w:beforeAutospacing="0" w:after="0" w:afterAutospacing="0"/>
        <w:textAlignment w:val="baseline"/>
        <w:rPr>
          <w:rFonts w:asciiTheme="minorHAnsi" w:hAnsiTheme="minorHAnsi" w:cs="Segoe UI"/>
          <w:sz w:val="18"/>
          <w:szCs w:val="18"/>
        </w:rPr>
      </w:pPr>
    </w:p>
    <w:p w:rsidR="00AF6364" w:rsidRPr="000425FE" w:rsidRDefault="00AF6364">
      <w:pPr>
        <w:rPr>
          <w:rFonts w:ascii="Times New Roman" w:hAnsi="Times New Roman" w:cs="Times New Roman"/>
          <w:lang w:val="es-MX"/>
        </w:rPr>
      </w:pPr>
    </w:p>
    <w:sectPr w:rsidR="00AF6364"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749" w:rsidRDefault="00530749" w:rsidP="00AF6364">
      <w:pPr>
        <w:spacing w:after="0" w:line="240" w:lineRule="auto"/>
      </w:pPr>
      <w:r>
        <w:separator/>
      </w:r>
    </w:p>
  </w:endnote>
  <w:endnote w:type="continuationSeparator" w:id="0">
    <w:p w:rsidR="00530749" w:rsidRDefault="00530749"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D919D1" w:rsidRPr="00D919D1">
        <w:rPr>
          <w:noProof/>
          <w:color w:val="333333"/>
          <w:sz w:val="20"/>
        </w:rPr>
        <w:t>6/10/2026 16:03:00</w:t>
      </w:r>
    </w:fldSimple>
    <w:r w:rsidRPr="001C19C4">
      <w:rPr>
        <w:color w:val="333333"/>
        <w:sz w:val="20"/>
      </w:rPr>
      <w:t xml:space="preserve">  -  Cantidad de caracteres: </w:t>
    </w:r>
    <w:fldSimple w:instr=" NUMCHARS  \* MERGEFORMAT ">
      <w:r w:rsidR="00D919D1" w:rsidRPr="00D919D1">
        <w:rPr>
          <w:noProof/>
          <w:color w:val="333333"/>
          <w:sz w:val="20"/>
        </w:rPr>
        <w:t>7707</w:t>
      </w:r>
    </w:fldSimple>
    <w:r w:rsidRPr="001C19C4">
      <w:rPr>
        <w:color w:val="333333"/>
        <w:sz w:val="20"/>
      </w:rPr>
      <w:t xml:space="preserve"> - Cantidad de palabras: </w:t>
    </w:r>
    <w:fldSimple w:instr=" NUMWORDS  \* MERGEFORMAT ">
      <w:r w:rsidR="00D919D1" w:rsidRPr="00D919D1">
        <w:rPr>
          <w:noProof/>
          <w:color w:val="333333"/>
          <w:sz w:val="20"/>
        </w:rPr>
        <w:t>1233</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DB260C" w:rsidRPr="001C19C4">
      <w:rPr>
        <w:rStyle w:val="Nmerodepgina"/>
        <w:color w:val="333333"/>
      </w:rPr>
      <w:fldChar w:fldCharType="begin"/>
    </w:r>
    <w:r w:rsidRPr="001C19C4">
      <w:rPr>
        <w:rStyle w:val="Nmerodepgina"/>
        <w:color w:val="333333"/>
      </w:rPr>
      <w:instrText xml:space="preserve"> PAGE </w:instrText>
    </w:r>
    <w:r w:rsidR="00DB260C" w:rsidRPr="001C19C4">
      <w:rPr>
        <w:rStyle w:val="Nmerodepgina"/>
        <w:color w:val="333333"/>
      </w:rPr>
      <w:fldChar w:fldCharType="separate"/>
    </w:r>
    <w:r w:rsidR="00D919D1">
      <w:rPr>
        <w:rStyle w:val="Nmerodepgina"/>
        <w:noProof/>
        <w:color w:val="333333"/>
      </w:rPr>
      <w:t>5</w:t>
    </w:r>
    <w:r w:rsidR="00DB260C" w:rsidRPr="001C19C4">
      <w:rPr>
        <w:rStyle w:val="Nmerodepgina"/>
        <w:color w:val="333333"/>
      </w:rPr>
      <w:fldChar w:fldCharType="end"/>
    </w:r>
    <w:r w:rsidRPr="001C19C4">
      <w:rPr>
        <w:rStyle w:val="Nmerodepgina"/>
        <w:color w:val="333333"/>
      </w:rPr>
      <w:t>/</w:t>
    </w:r>
    <w:fldSimple w:instr=" NUMPAGES  \* MERGEFORMAT ">
      <w:r w:rsidR="00D919D1">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749" w:rsidRDefault="00530749" w:rsidP="00AF6364">
      <w:pPr>
        <w:spacing w:after="0" w:line="240" w:lineRule="auto"/>
      </w:pPr>
      <w:r>
        <w:separator/>
      </w:r>
    </w:p>
  </w:footnote>
  <w:footnote w:type="continuationSeparator" w:id="0">
    <w:p w:rsidR="00530749" w:rsidRDefault="00530749"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D919D1"/>
    <w:rsid w:val="000425FE"/>
    <w:rsid w:val="002B0876"/>
    <w:rsid w:val="00425C91"/>
    <w:rsid w:val="00476D68"/>
    <w:rsid w:val="004F14B4"/>
    <w:rsid w:val="00530749"/>
    <w:rsid w:val="00597CD1"/>
    <w:rsid w:val="00646C3C"/>
    <w:rsid w:val="006A0EE0"/>
    <w:rsid w:val="006D1BAF"/>
    <w:rsid w:val="006E4861"/>
    <w:rsid w:val="0072782F"/>
    <w:rsid w:val="00746F04"/>
    <w:rsid w:val="00785CAD"/>
    <w:rsid w:val="007D5575"/>
    <w:rsid w:val="00813615"/>
    <w:rsid w:val="0081386C"/>
    <w:rsid w:val="00887FEC"/>
    <w:rsid w:val="009A4135"/>
    <w:rsid w:val="00AF3B91"/>
    <w:rsid w:val="00AF6364"/>
    <w:rsid w:val="00B24DD0"/>
    <w:rsid w:val="00C33CB5"/>
    <w:rsid w:val="00C60B5C"/>
    <w:rsid w:val="00CB13FF"/>
    <w:rsid w:val="00D919D1"/>
    <w:rsid w:val="00DA6887"/>
    <w:rsid w:val="00DB260C"/>
    <w:rsid w:val="00DB479F"/>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3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CB13FF"/>
    <w:pPr>
      <w:spacing w:after="0" w:line="240" w:lineRule="auto"/>
      <w:jc w:val="both"/>
    </w:pPr>
    <w:rPr>
      <w:rFonts w:ascii="Times New Roman" w:eastAsia="Times New Roman" w:hAnsi="Times New Roman" w:cs="Times New Roman"/>
      <w:kern w:val="0"/>
      <w:sz w:val="24"/>
      <w:szCs w:val="24"/>
      <w:lang w:val="es-ES" w:eastAsia="es-ES"/>
    </w:rPr>
  </w:style>
  <w:style w:type="paragraph" w:customStyle="1" w:styleId="paragraph">
    <w:name w:val="paragraph"/>
    <w:basedOn w:val="Normal"/>
    <w:rsid w:val="00CB13FF"/>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eop">
    <w:name w:val="eop"/>
    <w:basedOn w:val="Fuentedeprrafopredeter"/>
    <w:rsid w:val="00CB13FF"/>
  </w:style>
  <w:style w:type="character" w:customStyle="1" w:styleId="normaltextrun">
    <w:name w:val="normaltextrun"/>
    <w:basedOn w:val="Fuentedeprrafopredeter"/>
    <w:rsid w:val="00CB13FF"/>
  </w:style>
  <w:style w:type="table" w:styleId="Tablaconcuadrcula">
    <w:name w:val="Table Grid"/>
    <w:basedOn w:val="Tablanormal"/>
    <w:uiPriority w:val="59"/>
    <w:rsid w:val="00CB13FF"/>
    <w:pPr>
      <w:spacing w:after="0" w:line="240" w:lineRule="auto"/>
    </w:pPr>
    <w:rPr>
      <w:kern w:val="0"/>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B13FF"/>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elay\Downloads\07f0fc1a-9d18-463d-85d1-fd69b410579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Template>
  <TotalTime>0</TotalTime>
  <Pages>5</Pages>
  <Words>1233</Words>
  <Characters>7707</Characters>
  <Application>Microsoft Office Word</Application>
  <DocSecurity>0</DocSecurity>
  <Lines>239</Lines>
  <Paragraphs>69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mapelay</dc:creator>
  <cp:lastModifiedBy>mapelay</cp:lastModifiedBy>
  <cp:revision>2</cp:revision>
  <cp:lastPrinted>2024-04-06T03:02:00Z</cp:lastPrinted>
  <dcterms:created xsi:type="dcterms:W3CDTF">2026-10-06T19:02:00Z</dcterms:created>
  <dcterms:modified xsi:type="dcterms:W3CDTF">2026-10-06T19:03:00Z</dcterms:modified>
</cp:coreProperties>
</file>