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71" w:rsidRPr="00303371" w:rsidRDefault="00303371" w:rsidP="0030337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val="es-ES" w:eastAsia="es-ES"/>
        </w:rPr>
      </w:pPr>
    </w:p>
    <w:p w:rsidR="0067611E" w:rsidRPr="0067611E" w:rsidRDefault="0067611E" w:rsidP="0067611E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7611E">
        <w:rPr>
          <w:rFonts w:ascii="Times New Roman" w:hAnsi="Times New Roman"/>
          <w:i/>
          <w:sz w:val="24"/>
          <w:szCs w:val="24"/>
        </w:rPr>
        <w:t>Ref.: Expediente N° 2430-D-2026.-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  <w:r w:rsidRPr="0067611E">
        <w:rPr>
          <w:rFonts w:ascii="Times New Roman" w:hAnsi="Times New Roman"/>
          <w:sz w:val="24"/>
          <w:szCs w:val="24"/>
        </w:rPr>
        <w:t>Legislatura de la Ciudad Autónoma de Buenos Aires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Visto: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611E">
        <w:rPr>
          <w:rFonts w:ascii="Times New Roman" w:hAnsi="Times New Roman"/>
          <w:sz w:val="24"/>
          <w:szCs w:val="24"/>
        </w:rPr>
        <w:t xml:space="preserve">El </w:t>
      </w:r>
      <w:r w:rsidRPr="0067611E">
        <w:rPr>
          <w:rFonts w:ascii="Times New Roman" w:hAnsi="Times New Roman"/>
          <w:b/>
          <w:sz w:val="24"/>
          <w:szCs w:val="24"/>
        </w:rPr>
        <w:t>Expediente N° 2430-D-2026</w:t>
      </w:r>
      <w:r w:rsidRPr="0067611E">
        <w:rPr>
          <w:rFonts w:ascii="Times New Roman" w:hAnsi="Times New Roman"/>
          <w:sz w:val="24"/>
          <w:szCs w:val="24"/>
        </w:rPr>
        <w:t xml:space="preserve">, de Ley, autoría de la </w:t>
      </w:r>
      <w:r w:rsidRPr="0067611E">
        <w:rPr>
          <w:rFonts w:ascii="Times New Roman" w:hAnsi="Times New Roman"/>
          <w:sz w:val="24"/>
          <w:szCs w:val="24"/>
          <w:lang w:val="es-ES"/>
        </w:rPr>
        <w:t xml:space="preserve">diputada Ramírez, María del Pilar y los diputados que acompañan </w:t>
      </w:r>
      <w:r w:rsidRPr="0067611E">
        <w:rPr>
          <w:rFonts w:ascii="Times New Roman" w:hAnsi="Times New Roman"/>
          <w:sz w:val="24"/>
          <w:szCs w:val="24"/>
          <w:shd w:val="clear" w:color="auto" w:fill="FFFFFF"/>
        </w:rPr>
        <w:t>Arenaza, Juan Pablo; Ernst, Marcelo Gregorio; Fernández, Juan Ignacio; Imas, Silvia; Kienast, Marina; Montenegro, Lucía; Pakgojz, Nicolás; Pel</w:t>
      </w:r>
      <w:r w:rsidR="00972201">
        <w:rPr>
          <w:rFonts w:ascii="Times New Roman" w:hAnsi="Times New Roman"/>
          <w:sz w:val="24"/>
          <w:szCs w:val="24"/>
          <w:shd w:val="clear" w:color="auto" w:fill="FFFFFF"/>
        </w:rPr>
        <w:t xml:space="preserve">ayo, Solana; </w:t>
      </w:r>
      <w:proofErr w:type="spellStart"/>
      <w:r w:rsidR="00972201">
        <w:rPr>
          <w:rFonts w:ascii="Times New Roman" w:hAnsi="Times New Roman"/>
          <w:sz w:val="24"/>
          <w:szCs w:val="24"/>
          <w:shd w:val="clear" w:color="auto" w:fill="FFFFFF"/>
        </w:rPr>
        <w:t>Freguia</w:t>
      </w:r>
      <w:proofErr w:type="spellEnd"/>
      <w:r w:rsidR="00972201">
        <w:rPr>
          <w:rFonts w:ascii="Times New Roman" w:hAnsi="Times New Roman"/>
          <w:sz w:val="24"/>
          <w:szCs w:val="24"/>
          <w:shd w:val="clear" w:color="auto" w:fill="FFFFFF"/>
        </w:rPr>
        <w:t xml:space="preserve">, Andrea; </w:t>
      </w:r>
      <w:proofErr w:type="spellStart"/>
      <w:r w:rsidR="00972201">
        <w:rPr>
          <w:rFonts w:ascii="Times New Roman" w:hAnsi="Times New Roman"/>
          <w:sz w:val="24"/>
          <w:szCs w:val="24"/>
          <w:shd w:val="clear" w:color="auto" w:fill="FFFFFF"/>
        </w:rPr>
        <w:t>Sa</w:t>
      </w:r>
      <w:r w:rsidRPr="0067611E">
        <w:rPr>
          <w:rFonts w:ascii="Times New Roman" w:hAnsi="Times New Roman"/>
          <w:sz w:val="24"/>
          <w:szCs w:val="24"/>
          <w:shd w:val="clear" w:color="auto" w:fill="FFFFFF"/>
        </w:rPr>
        <w:t>ifert</w:t>
      </w:r>
      <w:proofErr w:type="spellEnd"/>
      <w:r w:rsidRPr="0067611E">
        <w:rPr>
          <w:rFonts w:ascii="Times New Roman" w:hAnsi="Times New Roman"/>
          <w:sz w:val="24"/>
          <w:szCs w:val="24"/>
          <w:shd w:val="clear" w:color="auto" w:fill="FFFFFF"/>
        </w:rPr>
        <w:t>, Leonardo; Rey, Sandra y Vartabedian, Diego; s</w:t>
      </w:r>
      <w:r w:rsidRPr="0067611E">
        <w:rPr>
          <w:rFonts w:ascii="Times New Roman" w:hAnsi="Times New Roman"/>
          <w:sz w:val="24"/>
          <w:szCs w:val="24"/>
        </w:rPr>
        <w:t>obre Ley de Libertad Comercial, y;</w:t>
      </w:r>
    </w:p>
    <w:p w:rsidR="007E04F1" w:rsidRDefault="007E04F1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Considerando: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el presente proyecto tiene por objeto establecer en la Ciudad Autónoma de Buenos Aires un régimen especial de simplificación administrativa para el desarrollo de actividades económicas, orientado a garantizar la libertad de producir, comerciar, invertir y trabajar, mediante la digitalización de trámites, la ventanilla única, el principio de interoperabilidad y no reiteración documental y el silencio administrativo positivo;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la Ciudad Autónoma de Buenos Aires, en ejercicio de su autonomía política e institucional, tiene la responsabilidad de asegurar un marco normativo que favorezca la actividad económica lícita, reduzca cargas burocráticas innecesarias y elimine obstáculos administrativos que terminan dificultando la producción, encareciendo la operatoria comercial y desalentando la inversión;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quien quiere iniciar una actividad económica debe contar con procedimientos claros y previsibles. Por eso, el proyecto establece medidas de simplificación administrativa que se articulan con el régimen de autorizaciones y fiscalización previsto en la Ley N° 6.101, su reglamentación y las normas específicas aplicables. De este modo, se busca que el Estado concentre sus recursos donde realmente existe riesgo y evite solicitarle al administrado la reproducción innecesaria de trámites que podrían consumirle tiempo y dinero extra;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en el mismo sentido, el proyecto incorpora el silencio administrativo en sentido positivo como regla para los trámites relativos a actividades económicas comprendidas en la Ley 6.101, con las excepciones expresamente previstas;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lastRenderedPageBreak/>
        <w:t>Que a tal efecto, se establece un plazo general de treinta días hábiles administrativos desde la presentación completa y se exige que las observaciones sean integrales, precisas y fundadas, prohibiendo su formulación sucesiva, parcial o dilatoria sobre extremos que pudieran requerirse conjuntamente. El régimen contempla las exclusiones vinculadas a riesgos o afectaciones a las personas y a los bienes públicos o privados o al interés colectivo;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en esta misma línea, se promueve la centralización progresiva de los trámites a través de la Ventanilla Única de Trámites y de las demás plataformas y herramientas digitales disponibles, junto con la implementación de un legajo único por operador económico. El objetivo es ordenar la relación entre la administración y el contribuyente, concentrando los trámites vinculados al inicio, modificación, renovación, transferencia o baja de actividades económicas y la información necesaria para su gestión. Se trata de una reforma orientada a simplificar y dotar al sistema de mayor trazabilidad y transparencia. Un Estado más simple es un Estado mejor organizado y con mayor capacidad de control;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del mismo modo, el proyecto incorpora el principio de no reiteración documental, conforme al cual la Administración no puede exigirle al ciudadano, al comerciante o al emprendedor información o documentación que obre en su poder o que haya sido emitida por organismos de la Ciudad, o que pueda obtenerse gratuitamente mediante registros públicos interoperables a los que tenga acceso efectivo. Esta previsión apunta a mejorar una de las formas más comunes de ineficiencia estatal: la repetición constante de requerimientos, certificaciones y validaciones sobre datos que el propio Estado ya posee o puede verificar. La obtención y circulación interna de esa información no debe trasladarse al administrado;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asimismo, la Guía Única de Trámites busca robustecer la seguridad jurídica de cara al administrado, quien debe poder conocer de antemano de forma clara, accesible y transparente cuáles son las condiciones legales, técnicas y procedimentales aplicables a su actividad. En particular, los mecanismos diferenciados de intervención, fiscalización y control, sus criterios de aplicación y las actividades alcanzadas deberán incorporarse a la Guía antes de su entrada en vigencia y mantenerse actualizados. La previsibilidad administrativa constituye una condición básica de la libertad económica;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Que la implementación de estas herramientas se acompaña de la adecuación y armonización de la normativa reglamentaria y administrativa, procurando evitar superposiciones con los procedimientos y mecanismos de simplificación existentes. Asimismo, se establece que la ley entrará en vigencia a partir de su reglamentación, que deberá dictarse dentro del plazo máximo de ciento veinte días hábiles desde su publicación;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lastRenderedPageBreak/>
        <w:t>Que en definitiva, el presente proyecto propone continuar avanzando en una  transformación concreta en la relación entre la administración pública y la actividad económica en la Ciudad.</w:t>
      </w:r>
    </w:p>
    <w:p w:rsidR="0067611E" w:rsidRPr="0067611E" w:rsidRDefault="0067611E" w:rsidP="007E04F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7611E">
        <w:rPr>
          <w:rFonts w:ascii="Times New Roman" w:hAnsi="Times New Roman"/>
          <w:sz w:val="24"/>
          <w:szCs w:val="24"/>
        </w:rPr>
        <w:t xml:space="preserve">Por lo expuesto, la Comisión de Desarrollo Económico y MERCOSUR, en conjunto con la Comisión de Asuntos Constitucionales y la Comisión de Presupuesto, </w:t>
      </w:r>
      <w:r w:rsidRPr="00676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s-ES"/>
        </w:rPr>
        <w:t xml:space="preserve">Hacienda, Administración Financiera y Política Tributaria, </w:t>
      </w:r>
      <w:r w:rsidRPr="0067611E">
        <w:rPr>
          <w:rFonts w:ascii="Times New Roman" w:hAnsi="Times New Roman"/>
          <w:sz w:val="24"/>
          <w:szCs w:val="24"/>
        </w:rPr>
        <w:t>aconsejan la sanción de la siguiente:</w:t>
      </w:r>
    </w:p>
    <w:p w:rsidR="0067611E" w:rsidRPr="0067611E" w:rsidRDefault="0067611E" w:rsidP="0067611E">
      <w:pPr>
        <w:pStyle w:val="normal0"/>
        <w:spacing w:line="276" w:lineRule="auto"/>
        <w:ind w:right="5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LEY</w:t>
      </w: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LEY DE LIBERTAD COMERCIAL </w:t>
      </w: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276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CAPÍTULO I</w:t>
      </w:r>
    </w:p>
    <w:p w:rsidR="0067611E" w:rsidRPr="0067611E" w:rsidRDefault="0067611E" w:rsidP="0067611E">
      <w:pPr>
        <w:pStyle w:val="normal0"/>
        <w:spacing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DISPOSICIONES GENERALES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8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1°.- Objeto. </w:t>
      </w:r>
      <w:r w:rsidRPr="0067611E">
        <w:rPr>
          <w:rFonts w:eastAsia="Calibri"/>
          <w:color w:val="000000"/>
          <w:sz w:val="24"/>
          <w:szCs w:val="24"/>
        </w:rPr>
        <w:t>La presente ley tiene por objeto establecer un régimen especial de simplificación administrativa aplicable a los trámites relativos al desarrollo de actividades económicas en la Ciudad Autónoma de Buenos Aires, sin perjuicio de los procedimientos y requisitos establecidos en los regímenes legales específicos aplicables.</w:t>
      </w:r>
    </w:p>
    <w:p w:rsidR="0067611E" w:rsidRPr="0067611E" w:rsidRDefault="0067611E" w:rsidP="0067611E">
      <w:pPr>
        <w:pStyle w:val="normal0"/>
        <w:spacing w:before="200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2°.- Principios. </w:t>
      </w:r>
      <w:r w:rsidRPr="0067611E">
        <w:rPr>
          <w:rFonts w:eastAsia="Calibri"/>
          <w:sz w:val="24"/>
          <w:szCs w:val="24"/>
        </w:rPr>
        <w:t>Son principios de la presente ley: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7"/>
        </w:tabs>
        <w:spacing w:before="240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Libertad económica;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43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Buena fe del administrado;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7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Simplicidad y celeridad administrativa;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Digitalización integral;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7"/>
        </w:tabs>
        <w:spacing w:before="43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Ventanilla única;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No reiteración de solicitud documental por parte de la Administración;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9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Control posterior;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Silencio administrativo positivo;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</w:tabs>
        <w:spacing w:before="43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Interoperabilidad;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Publicidad de los requisitos;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Reconocimiento de equivalencias;</w:t>
      </w:r>
    </w:p>
    <w:p w:rsidR="0067611E" w:rsidRPr="0067611E" w:rsidRDefault="0067611E" w:rsidP="0067611E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</w:tabs>
        <w:spacing w:before="41" w:line="360" w:lineRule="auto"/>
        <w:ind w:left="0" w:right="5" w:firstLine="0"/>
        <w:rPr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Reducción de cargas burocráticas.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3°.- Ámbito de aplicación. </w:t>
      </w:r>
      <w:r w:rsidRPr="0067611E">
        <w:rPr>
          <w:rFonts w:eastAsia="Calibri"/>
          <w:color w:val="000000"/>
          <w:sz w:val="24"/>
          <w:szCs w:val="24"/>
        </w:rPr>
        <w:t xml:space="preserve">La presente ley será aplicable a los trámites de habilitaciones, permisos, registros, inscripciones, renovaciones, modificaciones, transferencias, bajas, presentaciones, certificaciones, controles y demás actuaciones </w:t>
      </w:r>
      <w:r w:rsidRPr="0067611E">
        <w:rPr>
          <w:rFonts w:eastAsia="Calibri"/>
          <w:color w:val="000000"/>
          <w:sz w:val="24"/>
          <w:szCs w:val="24"/>
        </w:rPr>
        <w:lastRenderedPageBreak/>
        <w:t>administrativas de carácter no fiscal vinculadas al ejercicio de actividades económicas, ante las autoridades competentes de la Administración Pública de la Ciudad Autónoma de Buenos Aires.</w:t>
      </w:r>
    </w:p>
    <w:p w:rsidR="0067611E" w:rsidRPr="0067611E" w:rsidRDefault="0067611E" w:rsidP="0067611E">
      <w:pPr>
        <w:pStyle w:val="normal0"/>
        <w:spacing w:before="240" w:after="240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 xml:space="preserve">Su aplicación deberá efectuarse con observancia de los regímenes legales específicos, sin alterar los procedimientos, requisitos ni competencias establecidos en ellos. En particular, las autorizaciones y la fiscalización de actividades económicas se regirán por las disposiciones de la Ley 6.101, su reglamentación y normativa específica aplicable. </w:t>
      </w:r>
    </w:p>
    <w:p w:rsidR="0067611E" w:rsidRPr="0067611E" w:rsidRDefault="0067611E" w:rsidP="0067611E">
      <w:pPr>
        <w:pStyle w:val="normal0"/>
        <w:spacing w:before="240" w:after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4°.- Sujetos alcanzados. </w:t>
      </w:r>
      <w:r w:rsidRPr="0067611E">
        <w:rPr>
          <w:rFonts w:eastAsia="Calibri"/>
          <w:color w:val="000000"/>
          <w:sz w:val="24"/>
          <w:szCs w:val="24"/>
        </w:rPr>
        <w:t>Quedan alcanzados por las disposiciones de la presente Ley los órganos y organismos de la Administración Pública centralizada y descentralizada de  la Ciudad Autónoma de Buenos Aires, que en el ámbito de sus respectivas competencias de carácter no fiscal, intervengan en la regulación, autorización, habilitación, fiscalización o control de actividades económicas desarrolladas en la Ciudad por personas humanas, personas jurídicas y todo otro sujeto que desarrolle, solicite desarrollar, comercialice, preste servicios u opere una actividad económica.</w:t>
      </w:r>
    </w:p>
    <w:p w:rsidR="007E04F1" w:rsidRDefault="007E04F1" w:rsidP="0067611E">
      <w:pPr>
        <w:pStyle w:val="Ttulo1"/>
        <w:spacing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</w:p>
    <w:p w:rsidR="0067611E" w:rsidRPr="0067611E" w:rsidRDefault="0067611E" w:rsidP="0067611E">
      <w:pPr>
        <w:pStyle w:val="Ttulo1"/>
        <w:spacing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67611E">
        <w:rPr>
          <w:rFonts w:ascii="Times New Roman" w:eastAsia="Calibri" w:hAnsi="Times New Roman"/>
          <w:b/>
          <w:color w:val="auto"/>
          <w:sz w:val="24"/>
          <w:szCs w:val="24"/>
        </w:rPr>
        <w:t>CAPÍTULO II</w:t>
      </w:r>
    </w:p>
    <w:p w:rsidR="0067611E" w:rsidRPr="0067611E" w:rsidRDefault="0067611E" w:rsidP="0067611E">
      <w:pPr>
        <w:pStyle w:val="normal0"/>
        <w:spacing w:before="240"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DIGITALIZACIÓN, VENTANILLA ÚNICA E INTEROPERABILIDAD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9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5°.- Tramitación digital. </w:t>
      </w:r>
      <w:r w:rsidRPr="0067611E">
        <w:rPr>
          <w:rFonts w:eastAsia="Calibri"/>
          <w:color w:val="000000"/>
          <w:sz w:val="24"/>
          <w:szCs w:val="24"/>
        </w:rPr>
        <w:t>Los trámites relativos a actividades económicas comprendidos en la presente ley se inician, sustancian, notifican, resuelven y archivan por medios digitales.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La exigencia de soporte papel o de comparecencia presencial tendrá carácter excepcional y solo procederá cuando exista previsión legal expresa o cuando resulte estrictamente indispensable por razones técnicas no sustituibles por medios digitales.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91" w:line="360" w:lineRule="auto"/>
        <w:ind w:right="5"/>
        <w:jc w:val="both"/>
        <w:rPr>
          <w:rFonts w:eastAsia="Calibri"/>
          <w:b/>
          <w:bCs/>
          <w:color w:val="000000"/>
          <w:sz w:val="24"/>
          <w:szCs w:val="24"/>
        </w:rPr>
      </w:pPr>
      <w:bookmarkStart w:id="0" w:name="_heading=h.sy1wx76qw0ph" w:colFirst="0" w:colLast="0"/>
      <w:bookmarkEnd w:id="0"/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6°.- Validez de documentos electrónicos. </w:t>
      </w:r>
      <w:r w:rsidRPr="0067611E">
        <w:rPr>
          <w:rFonts w:eastAsia="Calibri"/>
          <w:color w:val="000000"/>
          <w:sz w:val="24"/>
          <w:szCs w:val="24"/>
        </w:rPr>
        <w:t>Los documentos electrónicos, firmas digitales, firmas electrónicas, expedientes electrónicos, notificaciones electrónicas y domicilios electrónicos constituidos tienen plena validez en el ámbito de la presente ley, conforme a la normativa vigente. La Administración no podrá exigir libros físicos, rúbricas en papel, presentaciones presenciales innecesarias ni reproducción material de documentación que pueda ser generada, presentada, conservada o verificada por medios digitales, salvo cuando su exigencia se encuentre prevista en la normativa específica aplicable o resulte necesaria para el ejercicio de las competencias de la autoridad interviniente.</w:t>
      </w:r>
    </w:p>
    <w:p w:rsidR="0067611E" w:rsidRPr="0067611E" w:rsidRDefault="0067611E" w:rsidP="0067611E">
      <w:pPr>
        <w:pStyle w:val="normal0"/>
        <w:spacing w:before="20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7°.- Ventanilla Única de Trámites. </w:t>
      </w:r>
      <w:r w:rsidRPr="0067611E">
        <w:rPr>
          <w:rFonts w:eastAsia="Calibri"/>
          <w:color w:val="000000"/>
          <w:sz w:val="24"/>
          <w:szCs w:val="24"/>
        </w:rPr>
        <w:t xml:space="preserve">El Gobierno de la Ciudad Autónoma de Buenos Aires debe disponer los medios necesarios para centralizar progresivamente los </w:t>
      </w:r>
      <w:r w:rsidRPr="0067611E">
        <w:rPr>
          <w:rFonts w:eastAsia="Calibri"/>
          <w:color w:val="000000"/>
          <w:sz w:val="24"/>
          <w:szCs w:val="24"/>
        </w:rPr>
        <w:lastRenderedPageBreak/>
        <w:t>trámites y actuaciones vinculados al desarrollo de actividades económicas, a través de la Ventanilla Única de Trámites (VUT) y de las demás plataformas y herramientas digitales disponibles.</w:t>
      </w:r>
    </w:p>
    <w:p w:rsidR="0067611E" w:rsidRPr="0067611E" w:rsidRDefault="0067611E" w:rsidP="0067611E">
      <w:pPr>
        <w:pStyle w:val="normal0"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Artículo 8°.- Centralización de la información y simplificación documental.</w:t>
      </w:r>
      <w:r w:rsidRPr="0067611E">
        <w:rPr>
          <w:rFonts w:eastAsia="Calibri"/>
          <w:sz w:val="24"/>
          <w:szCs w:val="24"/>
        </w:rPr>
        <w:t xml:space="preserve"> La Administración implementará un legajo único por cada operador económico, el cual estará vinculado al</w:t>
      </w:r>
      <w:r w:rsidRPr="0067611E">
        <w:rPr>
          <w:rFonts w:eastAsia="Calibri"/>
          <w:b/>
          <w:bCs/>
          <w:sz w:val="24"/>
          <w:szCs w:val="24"/>
        </w:rPr>
        <w:t xml:space="preserve"> </w:t>
      </w:r>
      <w:r w:rsidRPr="0067611E">
        <w:rPr>
          <w:rFonts w:eastAsia="Calibri"/>
          <w:sz w:val="24"/>
          <w:szCs w:val="24"/>
        </w:rPr>
        <w:t>número de Clave Única de Identificación Tributaria (CUIT) o Clave Única de Identificación Laboral (CUIL) correspondiente. Los órganos y entes alcanzados por el artículo 4° deberán utilizar dicho legajo como fuente de consulta de la información y documentación relativa a cada operador económico.</w:t>
      </w:r>
    </w:p>
    <w:p w:rsidR="0067611E" w:rsidRPr="0067611E" w:rsidRDefault="0067611E" w:rsidP="0067611E">
      <w:pPr>
        <w:pStyle w:val="normal0"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 xml:space="preserve">Ningún órgano o ente comprendido en la presente ley podrá requerir </w:t>
      </w:r>
      <w:proofErr w:type="gramStart"/>
      <w:r w:rsidRPr="0067611E">
        <w:rPr>
          <w:rFonts w:eastAsia="Calibri"/>
          <w:sz w:val="24"/>
          <w:szCs w:val="24"/>
        </w:rPr>
        <w:t>al administrado datos</w:t>
      </w:r>
      <w:proofErr w:type="gramEnd"/>
      <w:r w:rsidRPr="0067611E">
        <w:rPr>
          <w:rFonts w:eastAsia="Calibri"/>
          <w:sz w:val="24"/>
          <w:szCs w:val="24"/>
        </w:rPr>
        <w:t>, documentos o constancias que obren en su poder o que hayan sido emitidos por algún órgano o ente de la Ciudad Autónoma de Buenos Aires, o que puedan obtenerse de manera gratuita mediante registros públicos interoperables a los que la Administración tenga acceso efectivo.</w:t>
      </w:r>
    </w:p>
    <w:p w:rsidR="0067611E" w:rsidRPr="0067611E" w:rsidRDefault="0067611E" w:rsidP="0067611E">
      <w:pPr>
        <w:pStyle w:val="normal0"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La Administración no podrá exigir certificaciones, legalizaciones, validaciones o recaudos documentales redundantes cuando la información pueda verificarse mediante medios digitales o consulta a registros oficiales locales, salvo que resulten exigibles por disposición normativa o por razones debidamente fundadas.</w:t>
      </w:r>
    </w:p>
    <w:p w:rsidR="0067611E" w:rsidRPr="0067611E" w:rsidRDefault="0067611E" w:rsidP="0067611E">
      <w:pPr>
        <w:pStyle w:val="normal0"/>
        <w:spacing w:before="240" w:after="240" w:line="360" w:lineRule="auto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sz w:val="24"/>
          <w:szCs w:val="24"/>
        </w:rPr>
        <w:t>La obtención, verificación y circulación interna de la información y documentación se realizará conforme a los mecanismos y procedimientos que establezca la reglamentación, sin trasladar dicha carga al administrado.</w:t>
      </w:r>
    </w:p>
    <w:p w:rsidR="0067611E" w:rsidRPr="0067611E" w:rsidRDefault="0067611E" w:rsidP="0067611E">
      <w:pPr>
        <w:pStyle w:val="normal0"/>
        <w:spacing w:before="240" w:after="240" w:line="360" w:lineRule="auto"/>
        <w:jc w:val="both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Artículo 9°.- Trazabilidad.</w:t>
      </w:r>
      <w:r w:rsidRPr="0067611E">
        <w:rPr>
          <w:rFonts w:eastAsia="Calibri"/>
          <w:sz w:val="24"/>
          <w:szCs w:val="24"/>
        </w:rPr>
        <w:t xml:space="preserve"> Toda actuación comprendida en la presente ley debe dejar constancia digital de su fecha, hora, órgano interviniente, observaciones formuladas, subsanaciones, suspensiones de plazo, notificaciones y resolución.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1</w:t>
      </w:r>
      <w:r w:rsidRPr="0067611E">
        <w:rPr>
          <w:rFonts w:eastAsia="Calibri"/>
          <w:b/>
          <w:bCs/>
          <w:sz w:val="24"/>
          <w:szCs w:val="24"/>
        </w:rPr>
        <w:t>0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Interoperabilidad. </w:t>
      </w:r>
      <w:r w:rsidRPr="0067611E">
        <w:rPr>
          <w:rFonts w:eastAsia="Calibri"/>
          <w:color w:val="000000"/>
          <w:sz w:val="24"/>
          <w:szCs w:val="24"/>
        </w:rPr>
        <w:t>La autoridad de aplicación adoptará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67611E">
        <w:rPr>
          <w:rFonts w:eastAsia="Calibri"/>
          <w:color w:val="000000"/>
          <w:sz w:val="24"/>
          <w:szCs w:val="24"/>
        </w:rPr>
        <w:t>las medidas necesarias para asegurar la interoperabilidad entre los sistemas, registros y bases de datos de la Administración Pública de la Ciudad Autónoma de Buenos Aires, centralizada y descentralizada.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 xml:space="preserve">Cuando legalmente proceda y resulte técnica y operativamente posible, la autoridad de aplicación arbitrará los medios necesarios para su articulación con registros públicos nacionales, provinciales o municipales. 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9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Toda articulación, consulta, circulación interna y tratamiento de la información derivados de la interoperabilidad prevista en la presente ley deberá realizarse en estricto cumplimiento de la normativa vigente en materia de protección de datos personales.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9" w:line="360" w:lineRule="auto"/>
        <w:ind w:right="5"/>
        <w:jc w:val="both"/>
        <w:rPr>
          <w:rFonts w:eastAsia="Calibri"/>
          <w:sz w:val="24"/>
          <w:szCs w:val="24"/>
        </w:rPr>
      </w:pPr>
    </w:p>
    <w:p w:rsidR="0067611E" w:rsidRPr="002706A6" w:rsidRDefault="0067611E" w:rsidP="0067611E">
      <w:pPr>
        <w:pStyle w:val="Ttulo1"/>
        <w:spacing w:before="1"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2706A6">
        <w:rPr>
          <w:rFonts w:ascii="Times New Roman" w:eastAsia="Calibri" w:hAnsi="Times New Roman"/>
          <w:b/>
          <w:color w:val="auto"/>
          <w:sz w:val="24"/>
          <w:szCs w:val="24"/>
        </w:rPr>
        <w:t>CAPÍTULO III</w:t>
      </w:r>
    </w:p>
    <w:p w:rsidR="0067611E" w:rsidRPr="0067611E" w:rsidRDefault="0067611E" w:rsidP="0067611E">
      <w:pPr>
        <w:pStyle w:val="normal0"/>
        <w:spacing w:before="242"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GUÍA ÚNICA DE TRÁMITES Y REQUISITOS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"/>
        <w:rPr>
          <w:rFonts w:eastAsia="Calibri"/>
          <w:b/>
          <w:bCs/>
          <w:color w:val="000000"/>
          <w:sz w:val="24"/>
          <w:szCs w:val="24"/>
        </w:rPr>
      </w:pP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1</w:t>
      </w:r>
      <w:r w:rsidRPr="0067611E">
        <w:rPr>
          <w:rFonts w:eastAsia="Calibri"/>
          <w:b/>
          <w:bCs/>
          <w:sz w:val="24"/>
          <w:szCs w:val="24"/>
        </w:rPr>
        <w:t>1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Guía Única de Trámites. </w:t>
      </w:r>
      <w:r w:rsidRPr="0067611E">
        <w:rPr>
          <w:rFonts w:eastAsia="Calibri"/>
          <w:color w:val="000000"/>
          <w:sz w:val="24"/>
          <w:szCs w:val="24"/>
        </w:rPr>
        <w:t xml:space="preserve">La autoridad de </w:t>
      </w:r>
      <w:r w:rsidRPr="0067611E">
        <w:rPr>
          <w:rFonts w:eastAsia="Calibri"/>
          <w:sz w:val="24"/>
          <w:szCs w:val="24"/>
        </w:rPr>
        <w:t>aplicación</w:t>
      </w:r>
      <w:r w:rsidRPr="0067611E">
        <w:rPr>
          <w:rFonts w:eastAsia="Calibri"/>
          <w:color w:val="000000"/>
          <w:sz w:val="24"/>
          <w:szCs w:val="24"/>
        </w:rPr>
        <w:t xml:space="preserve"> arbitrará los medios necesarios para disponer de una Guía Única de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67611E">
        <w:rPr>
          <w:rFonts w:eastAsia="Calibri"/>
          <w:color w:val="000000"/>
          <w:sz w:val="24"/>
          <w:szCs w:val="24"/>
        </w:rPr>
        <w:t>Trámites aplicable a las actividades económicas en el ámbito de la Ciudad Autónoma de Buenos Aires.</w:t>
      </w:r>
    </w:p>
    <w:p w:rsidR="0067611E" w:rsidRPr="0067611E" w:rsidRDefault="0067611E" w:rsidP="0067611E">
      <w:pPr>
        <w:pStyle w:val="normal0"/>
        <w:spacing w:before="241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12.- Contenido. </w:t>
      </w:r>
      <w:r w:rsidRPr="0067611E">
        <w:rPr>
          <w:rFonts w:eastAsia="Calibri"/>
          <w:sz w:val="24"/>
          <w:szCs w:val="24"/>
        </w:rPr>
        <w:t>La</w:t>
      </w:r>
      <w:r w:rsidRPr="0067611E">
        <w:rPr>
          <w:rFonts w:eastAsia="Calibri"/>
          <w:b/>
          <w:bCs/>
          <w:sz w:val="24"/>
          <w:szCs w:val="24"/>
        </w:rPr>
        <w:t xml:space="preserve"> </w:t>
      </w:r>
      <w:r w:rsidRPr="0067611E">
        <w:rPr>
          <w:rFonts w:eastAsia="Calibri"/>
          <w:sz w:val="24"/>
          <w:szCs w:val="24"/>
        </w:rPr>
        <w:t xml:space="preserve">Guía Única de Trámites debe indicar, para cada trámite, los datos o clasificaciones como su denominación, </w:t>
      </w:r>
      <w:r w:rsidRPr="0067611E">
        <w:rPr>
          <w:rFonts w:eastAsia="Calibri"/>
          <w:color w:val="000000"/>
          <w:sz w:val="24"/>
          <w:szCs w:val="24"/>
        </w:rPr>
        <w:t xml:space="preserve">objeto, autoridad competente, o cualquier otro que determine la autoridad de aplicación. </w:t>
      </w:r>
    </w:p>
    <w:p w:rsidR="0067611E" w:rsidRPr="0067611E" w:rsidRDefault="0067611E" w:rsidP="0067611E">
      <w:pPr>
        <w:pStyle w:val="normal0"/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1</w:t>
      </w:r>
      <w:r w:rsidRPr="0067611E">
        <w:rPr>
          <w:rFonts w:eastAsia="Calibri"/>
          <w:b/>
          <w:bCs/>
          <w:sz w:val="24"/>
          <w:szCs w:val="24"/>
        </w:rPr>
        <w:t>3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Publicidad y exigibilidad de requisitos. </w:t>
      </w:r>
      <w:r w:rsidRPr="0067611E">
        <w:rPr>
          <w:rFonts w:eastAsia="Calibri"/>
          <w:color w:val="000000"/>
          <w:sz w:val="24"/>
          <w:szCs w:val="24"/>
        </w:rPr>
        <w:t>La Administración promoverá la publicación clara, completa y actualizada de los requisitos y procedimientos aplicables a los trámites comprendidos en la presente ley, de conformidad con la normativa vigente y mediante las herramientas y sistemas digitales existentes.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 xml:space="preserve">La implementación y actualización de dicha información se efectuará de manera progresiva, atendiendo a las capacidades técnicas y operativas de los organismos intervinientes, sin perjuicio del cumplimiento de las obligaciones establecidas en la normativa aplicable y del ejercicio de las facultades de fiscalización y control de las autoridades competentes. </w:t>
      </w:r>
    </w:p>
    <w:p w:rsidR="0067611E" w:rsidRPr="0067611E" w:rsidRDefault="0067611E" w:rsidP="0067611E">
      <w:pPr>
        <w:pStyle w:val="Ttulo1"/>
        <w:spacing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67611E">
        <w:rPr>
          <w:rFonts w:ascii="Times New Roman" w:eastAsia="Calibri" w:hAnsi="Times New Roman"/>
          <w:b/>
          <w:color w:val="auto"/>
          <w:sz w:val="24"/>
          <w:szCs w:val="24"/>
        </w:rPr>
        <w:t>CAPÍTULO IV</w:t>
      </w:r>
    </w:p>
    <w:p w:rsidR="0067611E" w:rsidRPr="0067611E" w:rsidRDefault="0067611E" w:rsidP="0067611E">
      <w:pPr>
        <w:pStyle w:val="normal0"/>
        <w:spacing w:before="241"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AUTORIZACIÓN DE ACTIVIDADES ECONÓMICAS Y FISCALIZACIÓN </w:t>
      </w:r>
    </w:p>
    <w:p w:rsidR="0067611E" w:rsidRPr="0067611E" w:rsidRDefault="0067611E" w:rsidP="0067611E">
      <w:pPr>
        <w:pStyle w:val="normal0"/>
        <w:spacing w:before="239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Artículo 14.- Régimen aplicable a las autorizaciones.</w:t>
      </w:r>
      <w:r w:rsidRPr="0067611E">
        <w:rPr>
          <w:rFonts w:eastAsia="Calibri"/>
          <w:sz w:val="24"/>
          <w:szCs w:val="24"/>
        </w:rPr>
        <w:t xml:space="preserve"> Las autorizaciones para el desarrollo de actividades económicas se regirán por lo dispuesto en la Ley 6.101, y su reglamentación, y por las normas específicas aplicables a cada actividad, sin perjuicio de las medidas de simplificación administrativa previstas en la presente Ley. </w:t>
      </w:r>
    </w:p>
    <w:p w:rsidR="0067611E" w:rsidRPr="0067611E" w:rsidRDefault="0067611E" w:rsidP="0067611E">
      <w:pPr>
        <w:pStyle w:val="normal0"/>
        <w:spacing w:before="239" w:line="360" w:lineRule="auto"/>
        <w:ind w:right="5"/>
        <w:jc w:val="both"/>
        <w:rPr>
          <w:rFonts w:eastAsia="Calibri"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Artículo 15.- Diferenciación de mecanismos de intervención.</w:t>
      </w:r>
      <w:r w:rsidRPr="0067611E">
        <w:rPr>
          <w:rFonts w:eastAsia="Calibri"/>
          <w:sz w:val="24"/>
          <w:szCs w:val="24"/>
        </w:rPr>
        <w:t xml:space="preserve"> La autoridad competente podrá establecer mecanismos diferenciados de intervención, fiscalización y control en función del nivel de riesgo de las actividades económicas, de conformidad con la normativa aplicable y las condiciones que establezca la reglamentación. </w:t>
      </w:r>
      <w:r w:rsidRPr="0067611E">
        <w:rPr>
          <w:rFonts w:eastAsia="Calibri"/>
          <w:bCs/>
          <w:sz w:val="24"/>
          <w:szCs w:val="24"/>
        </w:rPr>
        <w:t>Los mecanismos, los criterios para su aplicación y las actividades alcanzadas deberán incorporarse a la Guía Única de Trámites de manera clara, completa y accesible, con carácter previo a su entrada en vigencia, y mantenerse actualizados.</w:t>
      </w:r>
    </w:p>
    <w:p w:rsidR="0067611E" w:rsidRPr="0067611E" w:rsidRDefault="0067611E" w:rsidP="0067611E">
      <w:pPr>
        <w:pStyle w:val="normal0"/>
        <w:spacing w:before="239" w:line="360" w:lineRule="auto"/>
        <w:ind w:right="5"/>
        <w:jc w:val="both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16.- Fiscalización. </w:t>
      </w:r>
      <w:r w:rsidRPr="0067611E">
        <w:rPr>
          <w:rFonts w:eastAsia="Calibri"/>
          <w:sz w:val="24"/>
          <w:szCs w:val="24"/>
        </w:rPr>
        <w:t xml:space="preserve">La fiscalización de las actividades económicas se ejercerá por las autoridades competentes, de conformidad con las atribuciones, los procedimientos y las </w:t>
      </w:r>
      <w:r w:rsidRPr="0067611E">
        <w:rPr>
          <w:rFonts w:eastAsia="Calibri"/>
          <w:sz w:val="24"/>
          <w:szCs w:val="24"/>
        </w:rPr>
        <w:lastRenderedPageBreak/>
        <w:t>modalidades de control previstos en la Ley 6.101, su reglamentación y las demás normas aplicables. La aplicación de mecanismos de simplificación no exime del cumplimiento de los requisitos exigibles ni limita las facultades de inspección, intimación, y medidas preventivas previstas en el ordenamiento jurídico vigente.</w:t>
      </w:r>
      <w:r w:rsidRPr="0067611E">
        <w:rPr>
          <w:rFonts w:eastAsia="Calibri"/>
          <w:b/>
          <w:bCs/>
          <w:sz w:val="24"/>
          <w:szCs w:val="24"/>
        </w:rPr>
        <w:t xml:space="preserve"> </w:t>
      </w:r>
    </w:p>
    <w:p w:rsidR="0067611E" w:rsidRPr="0067611E" w:rsidRDefault="0067611E" w:rsidP="0067611E">
      <w:pPr>
        <w:pStyle w:val="normal0"/>
        <w:spacing w:before="239" w:line="360" w:lineRule="auto"/>
        <w:ind w:right="5"/>
        <w:jc w:val="both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before="239"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CAPÍTULO V</w:t>
      </w:r>
    </w:p>
    <w:p w:rsidR="0067611E" w:rsidRPr="0067611E" w:rsidRDefault="0067611E" w:rsidP="0067611E">
      <w:pPr>
        <w:pStyle w:val="normal0"/>
        <w:spacing w:before="241" w:line="360" w:lineRule="auto"/>
        <w:ind w:right="5"/>
        <w:jc w:val="center"/>
        <w:rPr>
          <w:rFonts w:eastAsia="Calibri"/>
          <w:b/>
          <w:bCs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>SILENCIO POSITIVO PARA AUTORIZACIONES DE ACTIVIDADES ECONÓMICAS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1</w:t>
      </w:r>
      <w:r w:rsidRPr="0067611E">
        <w:rPr>
          <w:rFonts w:eastAsia="Calibri"/>
          <w:b/>
          <w:bCs/>
          <w:sz w:val="24"/>
          <w:szCs w:val="24"/>
        </w:rPr>
        <w:t>7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Regla general. </w:t>
      </w:r>
      <w:r w:rsidRPr="0067611E">
        <w:rPr>
          <w:rFonts w:eastAsia="Calibri"/>
          <w:color w:val="000000"/>
          <w:sz w:val="24"/>
          <w:szCs w:val="24"/>
        </w:rPr>
        <w:t>Sin perjuicio de lo establecido en la Ley de Procedimiento Administrativo de la Ciudad Autónoma de Buenos Aires,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67611E">
        <w:rPr>
          <w:rFonts w:eastAsia="Calibri"/>
          <w:color w:val="000000"/>
          <w:sz w:val="24"/>
          <w:szCs w:val="24"/>
        </w:rPr>
        <w:t>en los trámites relativos a actividades económicas comprendidas en la Ley 6.101, el silencio de la Administración tiene efecto positivo, salvo en los supuestos exceptuados expresamente por esta ley.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</w:t>
      </w:r>
      <w:r w:rsidRPr="0067611E">
        <w:rPr>
          <w:rFonts w:eastAsia="Calibri"/>
          <w:b/>
          <w:bCs/>
          <w:sz w:val="24"/>
          <w:szCs w:val="24"/>
        </w:rPr>
        <w:t>18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Plazos, observaciones y suspensión. </w:t>
      </w:r>
      <w:r w:rsidRPr="0067611E">
        <w:rPr>
          <w:rFonts w:eastAsia="Calibri"/>
          <w:color w:val="000000"/>
          <w:sz w:val="24"/>
          <w:szCs w:val="24"/>
        </w:rPr>
        <w:t>El plazo general para resolver es de treinta (30) días hábiles administrativos contados desde la presentación completa. La autoridad de aplicación debe formular observaciones integrales, precisas y fundadas.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 xml:space="preserve">La formulación de observaciones suspende el plazo previsto en el primer párrafo desde su notificación al interesado y hasta la subsanación completa. Subsanada la presentación, el plazo se reanuda automáticamente al siguiente día hábil. Queda prohibida la formulación sucesiva, parcial o dilatoria de observaciones sobre extremos que </w:t>
      </w:r>
      <w:r w:rsidRPr="0067611E">
        <w:rPr>
          <w:rFonts w:eastAsia="Calibri"/>
          <w:sz w:val="24"/>
          <w:szCs w:val="24"/>
        </w:rPr>
        <w:t>pudieran</w:t>
      </w:r>
      <w:r w:rsidRPr="0067611E">
        <w:rPr>
          <w:rFonts w:eastAsia="Calibri"/>
          <w:color w:val="000000"/>
          <w:sz w:val="24"/>
          <w:szCs w:val="24"/>
        </w:rPr>
        <w:t xml:space="preserve"> ser requeridos conjuntamente.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9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Si la autoridad no formulará observaciones dentro de dicho plazo, la presentación se tiene por formalmente admitida.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color w:val="000000"/>
          <w:sz w:val="24"/>
          <w:szCs w:val="24"/>
        </w:rPr>
        <w:t>Vencido el plazo sin observaciones o resolución expresa, se tendrá por configurado el silencio de la Administración conforme lo establecido en el artículo 1</w:t>
      </w:r>
      <w:r w:rsidRPr="0067611E">
        <w:rPr>
          <w:rFonts w:eastAsia="Calibri"/>
          <w:sz w:val="24"/>
          <w:szCs w:val="24"/>
        </w:rPr>
        <w:t>7</w:t>
      </w:r>
      <w:r w:rsidRPr="0067611E">
        <w:rPr>
          <w:rFonts w:eastAsia="Calibri"/>
          <w:color w:val="000000"/>
          <w:sz w:val="24"/>
          <w:szCs w:val="24"/>
        </w:rPr>
        <w:t>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19.-</w:t>
      </w:r>
      <w:r w:rsidRPr="0067611E">
        <w:rPr>
          <w:rFonts w:eastAsia="Calibri"/>
          <w:color w:val="000000"/>
          <w:sz w:val="24"/>
          <w:szCs w:val="24"/>
        </w:rPr>
        <w:t xml:space="preserve"> </w:t>
      </w:r>
      <w:r w:rsidRPr="0067611E">
        <w:rPr>
          <w:rFonts w:eastAsia="Calibri"/>
          <w:b/>
          <w:bCs/>
          <w:color w:val="000000"/>
          <w:sz w:val="24"/>
          <w:szCs w:val="24"/>
        </w:rPr>
        <w:t>Limitaciones a la aplicación del silencio con sentido positivo</w:t>
      </w:r>
      <w:r w:rsidRPr="0067611E">
        <w:rPr>
          <w:rFonts w:eastAsia="Calibri"/>
          <w:color w:val="000000"/>
          <w:sz w:val="24"/>
          <w:szCs w:val="24"/>
        </w:rPr>
        <w:t>. El silencio con sentido positivo no será aplicable en aquellos trámites y procedimientos administrativos en los que se vieran implicados riesgos o afectaciones a las personas, a los bienes públicos o privados o al interés colectivo o que se encuentren tramitando bajo la figura de “Licencia de Actividad” del artículo 13 de la Ley 6.101.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>Artículo 2</w:t>
      </w:r>
      <w:r w:rsidRPr="0067611E">
        <w:rPr>
          <w:rFonts w:eastAsia="Calibri"/>
          <w:b/>
          <w:bCs/>
          <w:sz w:val="24"/>
          <w:szCs w:val="24"/>
        </w:rPr>
        <w:t>0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Constancia de aprobación. </w:t>
      </w:r>
      <w:r w:rsidRPr="0067611E">
        <w:rPr>
          <w:rFonts w:eastAsia="Calibri"/>
          <w:color w:val="000000"/>
          <w:sz w:val="24"/>
          <w:szCs w:val="24"/>
        </w:rPr>
        <w:t>La reglamentación establecerá los mecanismos para que, configurado el silencio por parte de la Autoridad de Aplicación o la aprobación expresa de la solicitud de habilitación, el sistema emita en forma automática la constancia correspondiente.</w:t>
      </w:r>
    </w:p>
    <w:p w:rsidR="0067611E" w:rsidRPr="0067611E" w:rsidRDefault="0067611E" w:rsidP="0067611E">
      <w:pPr>
        <w:pStyle w:val="Ttulo1"/>
        <w:spacing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67611E">
        <w:rPr>
          <w:rFonts w:ascii="Times New Roman" w:eastAsia="Calibri" w:hAnsi="Times New Roman"/>
          <w:b/>
          <w:color w:val="auto"/>
          <w:sz w:val="24"/>
          <w:szCs w:val="24"/>
        </w:rPr>
        <w:lastRenderedPageBreak/>
        <w:t>CAPÍTULO VI</w:t>
      </w:r>
    </w:p>
    <w:p w:rsidR="0067611E" w:rsidRPr="0067611E" w:rsidRDefault="0067611E" w:rsidP="0067611E">
      <w:pPr>
        <w:pStyle w:val="Ttulo1"/>
        <w:spacing w:line="360" w:lineRule="auto"/>
        <w:ind w:right="5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67611E">
        <w:rPr>
          <w:rFonts w:ascii="Times New Roman" w:eastAsia="Calibri" w:hAnsi="Times New Roman"/>
          <w:b/>
          <w:color w:val="auto"/>
          <w:sz w:val="24"/>
          <w:szCs w:val="24"/>
        </w:rPr>
        <w:t>DISPOSICIONES FINALES</w:t>
      </w:r>
    </w:p>
    <w:p w:rsidR="0067611E" w:rsidRPr="0067611E" w:rsidRDefault="0067611E" w:rsidP="0067611E">
      <w:pPr>
        <w:pStyle w:val="normal0"/>
        <w:spacing w:before="1" w:line="360" w:lineRule="auto"/>
        <w:ind w:right="5"/>
        <w:rPr>
          <w:rFonts w:eastAsia="Calibri"/>
          <w:color w:val="FF0000"/>
          <w:sz w:val="24"/>
          <w:szCs w:val="24"/>
        </w:rPr>
      </w:pPr>
    </w:p>
    <w:p w:rsidR="0067611E" w:rsidRPr="0067611E" w:rsidRDefault="0067611E" w:rsidP="0067611E">
      <w:pPr>
        <w:pStyle w:val="normal0"/>
        <w:spacing w:before="1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</w:t>
      </w:r>
      <w:r w:rsidRPr="0067611E">
        <w:rPr>
          <w:rFonts w:eastAsia="Calibri"/>
          <w:b/>
          <w:bCs/>
          <w:sz w:val="24"/>
          <w:szCs w:val="24"/>
        </w:rPr>
        <w:t>21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Mala fe. </w:t>
      </w:r>
      <w:r w:rsidRPr="0067611E">
        <w:rPr>
          <w:rFonts w:eastAsia="Calibri"/>
          <w:color w:val="000000"/>
          <w:sz w:val="24"/>
          <w:szCs w:val="24"/>
        </w:rPr>
        <w:t>La comprobación de falsedad, ocultamiento, adulteración documental, simulación o cualquier otra conducta que pudiera inducir a error a la administración pública o conducir a un inconveniente para el interés general, dolosa en declaraciones juradas o presentaciones efectuadas al amparo de la presente ley produce la nulidad del acto obtenido, sin perjuicio de la responsabilidad administrativa, civil y/o penal del operador económico</w:t>
      </w:r>
      <w:r w:rsidRPr="0067611E">
        <w:rPr>
          <w:rFonts w:eastAsia="Calibri"/>
          <w:sz w:val="24"/>
          <w:szCs w:val="24"/>
        </w:rPr>
        <w:t xml:space="preserve"> </w:t>
      </w:r>
      <w:r w:rsidRPr="0067611E">
        <w:rPr>
          <w:rFonts w:eastAsia="Calibri"/>
          <w:b/>
          <w:bCs/>
          <w:sz w:val="24"/>
          <w:szCs w:val="24"/>
        </w:rPr>
        <w:t>y</w:t>
      </w:r>
      <w:r w:rsidRPr="0067611E">
        <w:rPr>
          <w:rFonts w:eastAsia="Calibri"/>
          <w:color w:val="000000"/>
          <w:sz w:val="24"/>
          <w:szCs w:val="24"/>
        </w:rPr>
        <w:t xml:space="preserve"> sin perjuicio de las demás responsabilidades que correspondan.</w:t>
      </w:r>
    </w:p>
    <w:p w:rsidR="0067611E" w:rsidRPr="0067611E" w:rsidRDefault="0067611E" w:rsidP="0067611E">
      <w:pPr>
        <w:pStyle w:val="normal0"/>
        <w:spacing w:before="80" w:line="360" w:lineRule="auto"/>
        <w:ind w:right="5"/>
        <w:jc w:val="both"/>
        <w:rPr>
          <w:rFonts w:eastAsia="Calibri"/>
          <w:b/>
          <w:bCs/>
          <w:sz w:val="24"/>
          <w:szCs w:val="24"/>
        </w:rPr>
      </w:pPr>
    </w:p>
    <w:p w:rsidR="0067611E" w:rsidRPr="0067611E" w:rsidRDefault="0067611E" w:rsidP="0067611E">
      <w:pPr>
        <w:pStyle w:val="normal0"/>
        <w:spacing w:before="80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22.- Autoridad de Aplicación. </w:t>
      </w:r>
      <w:r w:rsidRPr="0067611E">
        <w:rPr>
          <w:rFonts w:eastAsia="Calibri"/>
          <w:sz w:val="24"/>
          <w:szCs w:val="24"/>
        </w:rPr>
        <w:t>El Poder Ejecutivo determinará la autoridad de aplicación de la presente ley.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</w:t>
      </w:r>
      <w:r w:rsidRPr="0067611E">
        <w:rPr>
          <w:rFonts w:eastAsia="Calibri"/>
          <w:b/>
          <w:bCs/>
          <w:sz w:val="24"/>
          <w:szCs w:val="24"/>
        </w:rPr>
        <w:t>23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Adecuación normativa. </w:t>
      </w:r>
      <w:r w:rsidRPr="0067611E">
        <w:rPr>
          <w:rFonts w:eastAsia="Calibri"/>
          <w:color w:val="000000"/>
          <w:sz w:val="24"/>
          <w:szCs w:val="24"/>
        </w:rPr>
        <w:t xml:space="preserve">El Poder Ejecutivo procederá a la adecuación, actualización y armonización de la normativa reglamentaria y de las disposiciones administrativas alcanzadas por la presente ley, en el marco de sus competencias y con observancia de los regímenes legales específicos aplicables, procurando evitar superposiciones con los procedimientos y mecanismos de simplificación existentes. </w:t>
      </w:r>
    </w:p>
    <w:p w:rsidR="0067611E" w:rsidRPr="0067611E" w:rsidRDefault="0067611E" w:rsidP="0067611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5"/>
        <w:jc w:val="both"/>
        <w:rPr>
          <w:rFonts w:eastAsia="Calibri"/>
          <w:color w:val="000000"/>
          <w:sz w:val="24"/>
          <w:szCs w:val="24"/>
        </w:rPr>
      </w:pPr>
      <w:r w:rsidRPr="0067611E">
        <w:rPr>
          <w:rFonts w:eastAsia="Calibri"/>
          <w:b/>
          <w:bCs/>
          <w:color w:val="000000"/>
          <w:sz w:val="24"/>
          <w:szCs w:val="24"/>
        </w:rPr>
        <w:t xml:space="preserve">Artículo </w:t>
      </w:r>
      <w:r w:rsidRPr="0067611E">
        <w:rPr>
          <w:rFonts w:eastAsia="Calibri"/>
          <w:b/>
          <w:bCs/>
          <w:sz w:val="24"/>
          <w:szCs w:val="24"/>
        </w:rPr>
        <w:t>24</w:t>
      </w:r>
      <w:r w:rsidRPr="0067611E">
        <w:rPr>
          <w:rFonts w:eastAsia="Calibri"/>
          <w:b/>
          <w:bCs/>
          <w:color w:val="000000"/>
          <w:sz w:val="24"/>
          <w:szCs w:val="24"/>
        </w:rPr>
        <w:t xml:space="preserve">.- </w:t>
      </w:r>
      <w:r w:rsidRPr="0067611E">
        <w:rPr>
          <w:rFonts w:eastAsia="Calibri"/>
          <w:b/>
          <w:bCs/>
          <w:sz w:val="24"/>
          <w:szCs w:val="24"/>
        </w:rPr>
        <w:t>Vigencia y reglamentación.</w:t>
      </w:r>
      <w:r w:rsidRPr="0067611E">
        <w:rPr>
          <w:rFonts w:eastAsia="Calibri"/>
          <w:sz w:val="24"/>
          <w:szCs w:val="24"/>
        </w:rPr>
        <w:t xml:space="preserve"> La presente ley entrará en vigencia a partir de su reglamentación, </w:t>
      </w:r>
      <w:r w:rsidRPr="0067611E">
        <w:rPr>
          <w:rFonts w:eastAsia="Calibri"/>
          <w:bCs/>
          <w:sz w:val="24"/>
          <w:szCs w:val="24"/>
        </w:rPr>
        <w:t>la que deberá dictarse dentro del plazo máximo de ciento veinte (120) días hábiles contados desde su publicación en el Boletín Oficial de la Ciudad Autónoma de Buenos Aires.</w:t>
      </w:r>
    </w:p>
    <w:p w:rsidR="0067611E" w:rsidRPr="0067611E" w:rsidRDefault="0067611E" w:rsidP="0067611E">
      <w:pPr>
        <w:pStyle w:val="normal0"/>
        <w:spacing w:before="241" w:line="360" w:lineRule="auto"/>
        <w:ind w:right="5"/>
        <w:jc w:val="both"/>
        <w:rPr>
          <w:rFonts w:eastAsia="Calibri"/>
          <w:sz w:val="24"/>
          <w:szCs w:val="24"/>
        </w:rPr>
      </w:pPr>
      <w:r w:rsidRPr="0067611E">
        <w:rPr>
          <w:rFonts w:eastAsia="Calibri"/>
          <w:b/>
          <w:bCs/>
          <w:sz w:val="24"/>
          <w:szCs w:val="24"/>
        </w:rPr>
        <w:t xml:space="preserve">Artículo 25.- </w:t>
      </w:r>
      <w:r w:rsidRPr="0067611E">
        <w:rPr>
          <w:rFonts w:eastAsia="Calibri"/>
          <w:sz w:val="24"/>
          <w:szCs w:val="24"/>
        </w:rPr>
        <w:t>Comuníquese, etc.-</w:t>
      </w:r>
    </w:p>
    <w:p w:rsidR="0067611E" w:rsidRPr="0067611E" w:rsidRDefault="0067611E" w:rsidP="0067611E">
      <w:pPr>
        <w:pStyle w:val="normal0"/>
        <w:spacing w:before="241" w:line="276" w:lineRule="auto"/>
        <w:ind w:right="5"/>
        <w:jc w:val="both"/>
        <w:rPr>
          <w:rFonts w:eastAsia="Calibri"/>
          <w:sz w:val="24"/>
          <w:szCs w:val="24"/>
        </w:rPr>
      </w:pPr>
    </w:p>
    <w:p w:rsidR="0067611E" w:rsidRPr="0067611E" w:rsidRDefault="0067611E" w:rsidP="0067611E">
      <w:pPr>
        <w:pStyle w:val="normal0"/>
        <w:spacing w:before="241" w:line="276" w:lineRule="auto"/>
        <w:ind w:right="5"/>
        <w:jc w:val="both"/>
        <w:rPr>
          <w:rFonts w:eastAsia="Calibri"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  <w:r w:rsidRPr="0067611E">
        <w:rPr>
          <w:rFonts w:ascii="Times New Roman" w:hAnsi="Times New Roman"/>
          <w:sz w:val="24"/>
          <w:szCs w:val="24"/>
        </w:rPr>
        <w:t>Sala de las Comisiones, 19 de octubre de 2026.</w:t>
      </w:r>
    </w:p>
    <w:p w:rsidR="0067611E" w:rsidRDefault="0067611E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04F1" w:rsidRDefault="007E04F1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04F1" w:rsidRDefault="007E04F1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04F1" w:rsidRDefault="007E04F1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04F1" w:rsidRDefault="007E04F1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1228" w:rsidRDefault="00501228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04F1" w:rsidRPr="0067611E" w:rsidRDefault="007E04F1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611E" w:rsidRPr="002706A6" w:rsidRDefault="0067611E" w:rsidP="0067611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706A6">
        <w:rPr>
          <w:rFonts w:ascii="Times New Roman" w:hAnsi="Times New Roman"/>
          <w:b/>
          <w:sz w:val="28"/>
          <w:szCs w:val="28"/>
        </w:rPr>
        <w:lastRenderedPageBreak/>
        <w:t>COMISIÓN DE DESARROLLO ECONÓMICO Y MERCOSUR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2124" w:firstLine="708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2124" w:firstLine="708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2832" w:firstLine="708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IMAS, Silvia</w:t>
      </w:r>
    </w:p>
    <w:p w:rsidR="0067611E" w:rsidRPr="0067611E" w:rsidRDefault="0067611E" w:rsidP="0067611E">
      <w:pPr>
        <w:spacing w:line="360" w:lineRule="auto"/>
        <w:ind w:left="2832" w:firstLine="708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PRESIDENTE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CAPORICCIO, Francisco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DONATI, Pablo A.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 xml:space="preserve">VICEPRESIDENTE 1° 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VICEPRESIDENTE 2°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708" w:firstLine="708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CRUCITA, Aldana B.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GLIZE, Patricia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GRILLO, Alejandro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IAÑEZ, Berenice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01228" w:rsidRDefault="00501228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01228" w:rsidRDefault="00501228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01228" w:rsidRDefault="00501228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LAMMENS, Matías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PAKGOJZ, Nicolás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PARERA, Ignacio J.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PELAYO, Solana</w:t>
      </w: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611E" w:rsidRPr="0067611E" w:rsidRDefault="0067611E" w:rsidP="006761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611E">
        <w:rPr>
          <w:rFonts w:ascii="Times New Roman" w:hAnsi="Times New Roman"/>
          <w:b/>
          <w:sz w:val="24"/>
          <w:szCs w:val="24"/>
        </w:rPr>
        <w:t>DIP. RODRIGUEZ LARRETA, Horacio</w:t>
      </w:r>
      <w:r w:rsidRPr="0067611E">
        <w:rPr>
          <w:rFonts w:ascii="Times New Roman" w:hAnsi="Times New Roman"/>
          <w:b/>
          <w:sz w:val="24"/>
          <w:szCs w:val="24"/>
        </w:rPr>
        <w:tab/>
      </w:r>
      <w:r w:rsidRPr="0067611E">
        <w:rPr>
          <w:rFonts w:ascii="Times New Roman" w:hAnsi="Times New Roman"/>
          <w:b/>
          <w:sz w:val="24"/>
          <w:szCs w:val="24"/>
        </w:rPr>
        <w:tab/>
        <w:t>DIP. ROSSEN, Bárbara</w:t>
      </w:r>
    </w:p>
    <w:p w:rsidR="0067611E" w:rsidRPr="0067611E" w:rsidRDefault="0067611E" w:rsidP="0067611E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rFonts w:eastAsia="Calibri"/>
          <w:b/>
          <w:sz w:val="24"/>
          <w:szCs w:val="24"/>
        </w:rPr>
      </w:pPr>
    </w:p>
    <w:p w:rsidR="0067611E" w:rsidRPr="002706A6" w:rsidRDefault="0067611E" w:rsidP="0067611E">
      <w:pPr>
        <w:pStyle w:val="normal0"/>
        <w:widowControl/>
        <w:spacing w:before="240" w:after="240" w:line="360" w:lineRule="auto"/>
        <w:jc w:val="center"/>
        <w:rPr>
          <w:rFonts w:eastAsia="Calibri"/>
          <w:b/>
          <w:sz w:val="28"/>
          <w:szCs w:val="28"/>
        </w:rPr>
      </w:pPr>
      <w:r w:rsidRPr="002706A6">
        <w:rPr>
          <w:rFonts w:eastAsia="Calibri"/>
          <w:b/>
          <w:sz w:val="28"/>
          <w:szCs w:val="28"/>
        </w:rPr>
        <w:t>COMISIÓN DE ASUNTOS CONSTITUCIONALES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rFonts w:eastAsia="Calibri"/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PAKGOJZ, Nicolás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PRESIDENTE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center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ALONSO, Laura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PEÑAFORT, Graciana</w:t>
      </w:r>
    </w:p>
    <w:p w:rsidR="00501228" w:rsidRDefault="00501228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501228" w:rsidRDefault="00501228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501228" w:rsidRDefault="00501228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VICEPRESIDENTE 1°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VICEPRESIDENTE 2°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CAPORICCIO, Francisco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CRUCITTA, Aldana B.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FERRARIO, Emmanuel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LOSPENNATO, Silvia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MOCHI, Federico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NEGRI, Claudia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NEIRA, Claudia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NIETO, Darío H.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501228" w:rsidRDefault="00501228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501228" w:rsidRDefault="00501228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OCAÑA, María Graciela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PELAYO, Solana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  <w:r w:rsidRPr="0067611E">
        <w:rPr>
          <w:b/>
          <w:sz w:val="24"/>
          <w:szCs w:val="24"/>
        </w:rPr>
        <w:t>DIP. RAMÍREZ, María del Pilar</w:t>
      </w:r>
      <w:r w:rsidRPr="0067611E">
        <w:rPr>
          <w:b/>
          <w:sz w:val="24"/>
          <w:szCs w:val="24"/>
        </w:rPr>
        <w:tab/>
      </w:r>
      <w:r w:rsidRPr="0067611E">
        <w:rPr>
          <w:b/>
          <w:sz w:val="24"/>
          <w:szCs w:val="24"/>
        </w:rPr>
        <w:tab/>
        <w:t>DIP. THOURTE, Manuela</w:t>
      </w: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67611E" w:rsidRDefault="0067611E" w:rsidP="0067611E">
      <w:pPr>
        <w:pStyle w:val="normal0"/>
        <w:widowControl/>
        <w:spacing w:before="240" w:after="240" w:line="360" w:lineRule="auto"/>
        <w:jc w:val="both"/>
        <w:rPr>
          <w:b/>
          <w:sz w:val="24"/>
          <w:szCs w:val="24"/>
        </w:rPr>
      </w:pPr>
    </w:p>
    <w:p w:rsidR="0067611E" w:rsidRPr="00E503E4" w:rsidRDefault="0067611E" w:rsidP="0067611E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  <w:r w:rsidRPr="00E503E4">
        <w:rPr>
          <w:rFonts w:ascii="Times New Roman" w:hAnsi="Times New Roman"/>
          <w:b/>
          <w:bCs/>
          <w:color w:val="000000"/>
          <w:sz w:val="28"/>
          <w:szCs w:val="28"/>
          <w:lang w:val="es-ES"/>
        </w:rPr>
        <w:t xml:space="preserve">COMISIÓN DE PRESUPUESTO, </w:t>
      </w:r>
      <w:r w:rsidRPr="00E503E4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s-ES"/>
        </w:rPr>
        <w:t>HACIENDA, ADMINISTRACIÓN FINANCIERA Y POLÍTICA TRIBUTARIA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A02E9F" w:rsidRDefault="00A02E9F" w:rsidP="0067611E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center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WOLFF, Waldo</w:t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PRESIDENTE</w:t>
      </w:r>
    </w:p>
    <w:p w:rsidR="00E503E4" w:rsidRDefault="0067611E" w:rsidP="00A02E9F">
      <w:pPr>
        <w:spacing w:after="240" w:line="276" w:lineRule="auto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NEIRA, Claudia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PAKGOJZ, Nicolás</w:t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 xml:space="preserve">VICEPRESIDENTE 1° 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VICEPRESIDENTE 2°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A02E9F" w:rsidRDefault="00A02E9F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A02E9F" w:rsidRDefault="00A02E9F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A02E9F" w:rsidRDefault="00A02E9F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 xml:space="preserve">DIP. ARENAZA, Juan Pablo 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BARROETAVEÑA, Matías</w:t>
      </w:r>
    </w:p>
    <w:p w:rsid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A3032B" w:rsidRDefault="00A3032B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A3032B" w:rsidRPr="0067611E" w:rsidRDefault="00A3032B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BIELLI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 xml:space="preserve">, María 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CAPORICCIO, Francisco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CASIELLES, Eugenio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="00CB48C3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 xml:space="preserve">       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 </w:t>
      </w:r>
      <w:r w:rsidR="00CB48C3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 xml:space="preserve">         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DONATI, Pablo A.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FERRARIO, Emmanuel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IAÑEZ, Berenice</w:t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LAMMENS, Matías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LOPEZ, Matías D.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LOUPIAS, Francisco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MODARELLI, Juan P.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501228" w:rsidRDefault="00501228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501228" w:rsidRDefault="00501228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501228" w:rsidRDefault="00501228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NAGATA, Sebastián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NEGRI, Claudia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A3032B" w:rsidRDefault="00A3032B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A3032B" w:rsidRDefault="00A3032B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A3032B" w:rsidRDefault="00A3032B" w:rsidP="0067611E">
      <w:pPr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PARERA, Ignacio J.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PELAYO, Solana</w:t>
      </w:r>
    </w:p>
    <w:p w:rsid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7E04F1" w:rsidRDefault="007E04F1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RAMÍREZ, María del Pilar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SICILIANO, Sergio</w:t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after="240" w:line="276" w:lineRule="auto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sz w:val="24"/>
          <w:szCs w:val="24"/>
          <w:lang w:val="es-ES"/>
        </w:rPr>
        <w:br/>
      </w: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>DIP. THOURTE, Manuela</w:t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</w:r>
      <w:r w:rsidRPr="0067611E">
        <w:rPr>
          <w:rFonts w:ascii="Times New Roman" w:hAnsi="Times New Roman"/>
          <w:b/>
          <w:bCs/>
          <w:color w:val="000000"/>
          <w:sz w:val="24"/>
          <w:szCs w:val="24"/>
          <w:lang w:val="es-ES"/>
        </w:rPr>
        <w:tab/>
        <w:t>DIP. VARTABEDIAN, Diego</w:t>
      </w:r>
    </w:p>
    <w:p w:rsidR="0067611E" w:rsidRPr="0067611E" w:rsidRDefault="0067611E" w:rsidP="0067611E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67611E" w:rsidRPr="0067611E" w:rsidRDefault="0067611E" w:rsidP="0067611E">
      <w:pPr>
        <w:spacing w:line="276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7611E" w:rsidRPr="0067611E" w:rsidRDefault="0067611E" w:rsidP="0067611E">
      <w:pPr>
        <w:rPr>
          <w:rFonts w:ascii="Times New Roman" w:hAnsi="Times New Roman"/>
          <w:sz w:val="24"/>
          <w:szCs w:val="24"/>
          <w:lang w:val="es-MX"/>
        </w:rPr>
      </w:pPr>
    </w:p>
    <w:p w:rsidR="00AF6364" w:rsidRPr="0067611E" w:rsidRDefault="00AF6364" w:rsidP="00303371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AF6364" w:rsidRPr="0067611E" w:rsidSect="000425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6D2" w:rsidRDefault="006D46D2" w:rsidP="00AF6364">
      <w:pPr>
        <w:spacing w:after="0" w:line="240" w:lineRule="auto"/>
      </w:pPr>
      <w:r>
        <w:separator/>
      </w:r>
    </w:p>
  </w:endnote>
  <w:endnote w:type="continuationSeparator" w:id="0">
    <w:p w:rsidR="006D46D2" w:rsidRDefault="006D46D2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8" w:rsidRDefault="0041793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01228" w:rsidRPr="00501228">
        <w:rPr>
          <w:noProof/>
          <w:color w:val="333333"/>
          <w:sz w:val="20"/>
        </w:rPr>
        <w:t>19/10/2026 14:59:00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01228" w:rsidRPr="00501228">
        <w:rPr>
          <w:noProof/>
          <w:color w:val="333333"/>
          <w:sz w:val="20"/>
        </w:rPr>
        <w:t>16458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01228" w:rsidRPr="00501228">
        <w:rPr>
          <w:noProof/>
          <w:color w:val="333333"/>
          <w:sz w:val="20"/>
        </w:rPr>
        <w:t>2671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8E58A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E58A8" w:rsidRPr="001C19C4">
      <w:rPr>
        <w:rStyle w:val="Nmerodepgina"/>
        <w:color w:val="333333"/>
      </w:rPr>
      <w:fldChar w:fldCharType="separate"/>
    </w:r>
    <w:r w:rsidR="00501228">
      <w:rPr>
        <w:rStyle w:val="Nmerodepgina"/>
        <w:noProof/>
        <w:color w:val="333333"/>
      </w:rPr>
      <w:t>6</w:t>
    </w:r>
    <w:r w:rsidR="008E58A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01228">
        <w:rPr>
          <w:noProof/>
        </w:rPr>
        <w:t>14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8" w:rsidRDefault="004179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6D2" w:rsidRDefault="006D46D2" w:rsidP="00AF6364">
      <w:pPr>
        <w:spacing w:after="0" w:line="240" w:lineRule="auto"/>
      </w:pPr>
      <w:r>
        <w:separator/>
      </w:r>
    </w:p>
  </w:footnote>
  <w:footnote w:type="continuationSeparator" w:id="0">
    <w:p w:rsidR="006D46D2" w:rsidRDefault="006D46D2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8" w:rsidRDefault="0041793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97220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19050" t="0" r="0" b="0"/>
          <wp:wrapTopAndBottom/>
          <wp:docPr id="1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37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8" w:rsidRDefault="0041793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0481D"/>
    <w:multiLevelType w:val="multilevel"/>
    <w:tmpl w:val="ED16EBA2"/>
    <w:lvl w:ilvl="0">
      <w:start w:val="1"/>
      <w:numFmt w:val="lowerLetter"/>
      <w:lvlText w:val="%1)"/>
      <w:lvlJc w:val="left"/>
      <w:pPr>
        <w:ind w:left="1587" w:hanging="24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466" w:hanging="246"/>
      </w:pPr>
    </w:lvl>
    <w:lvl w:ilvl="2">
      <w:numFmt w:val="bullet"/>
      <w:lvlText w:val="•"/>
      <w:lvlJc w:val="left"/>
      <w:pPr>
        <w:ind w:left="3352" w:hanging="246"/>
      </w:pPr>
    </w:lvl>
    <w:lvl w:ilvl="3">
      <w:numFmt w:val="bullet"/>
      <w:lvlText w:val="•"/>
      <w:lvlJc w:val="left"/>
      <w:pPr>
        <w:ind w:left="4238" w:hanging="246"/>
      </w:pPr>
    </w:lvl>
    <w:lvl w:ilvl="4">
      <w:numFmt w:val="bullet"/>
      <w:lvlText w:val="•"/>
      <w:lvlJc w:val="left"/>
      <w:pPr>
        <w:ind w:left="5124" w:hanging="246"/>
      </w:pPr>
    </w:lvl>
    <w:lvl w:ilvl="5">
      <w:numFmt w:val="bullet"/>
      <w:lvlText w:val="•"/>
      <w:lvlJc w:val="left"/>
      <w:pPr>
        <w:ind w:left="6010" w:hanging="246"/>
      </w:pPr>
    </w:lvl>
    <w:lvl w:ilvl="6">
      <w:numFmt w:val="bullet"/>
      <w:lvlText w:val="•"/>
      <w:lvlJc w:val="left"/>
      <w:pPr>
        <w:ind w:left="6896" w:hanging="246"/>
      </w:pPr>
    </w:lvl>
    <w:lvl w:ilvl="7">
      <w:numFmt w:val="bullet"/>
      <w:lvlText w:val="•"/>
      <w:lvlJc w:val="left"/>
      <w:pPr>
        <w:ind w:left="7782" w:hanging="246"/>
      </w:pPr>
    </w:lvl>
    <w:lvl w:ilvl="8">
      <w:numFmt w:val="bullet"/>
      <w:lvlText w:val="•"/>
      <w:lvlJc w:val="left"/>
      <w:pPr>
        <w:ind w:left="8668" w:hanging="246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FB6BF2"/>
    <w:rsid w:val="000425FE"/>
    <w:rsid w:val="000E39DC"/>
    <w:rsid w:val="0014743E"/>
    <w:rsid w:val="002228CD"/>
    <w:rsid w:val="002441E8"/>
    <w:rsid w:val="002706A6"/>
    <w:rsid w:val="002B0876"/>
    <w:rsid w:val="002C021C"/>
    <w:rsid w:val="00303371"/>
    <w:rsid w:val="00346883"/>
    <w:rsid w:val="003E5C02"/>
    <w:rsid w:val="00417938"/>
    <w:rsid w:val="00425C91"/>
    <w:rsid w:val="00470EE3"/>
    <w:rsid w:val="00476D68"/>
    <w:rsid w:val="004F14B4"/>
    <w:rsid w:val="00501228"/>
    <w:rsid w:val="00597CD1"/>
    <w:rsid w:val="00646C3C"/>
    <w:rsid w:val="0067611E"/>
    <w:rsid w:val="006A0EE0"/>
    <w:rsid w:val="006D1BAF"/>
    <w:rsid w:val="006D46D2"/>
    <w:rsid w:val="006E4861"/>
    <w:rsid w:val="0072782F"/>
    <w:rsid w:val="00746F04"/>
    <w:rsid w:val="007615F7"/>
    <w:rsid w:val="00785CAD"/>
    <w:rsid w:val="007C65C4"/>
    <w:rsid w:val="007D5575"/>
    <w:rsid w:val="007E04F1"/>
    <w:rsid w:val="00813615"/>
    <w:rsid w:val="0081386C"/>
    <w:rsid w:val="00847ECD"/>
    <w:rsid w:val="00887FEC"/>
    <w:rsid w:val="008915F4"/>
    <w:rsid w:val="008C2A98"/>
    <w:rsid w:val="008E58A8"/>
    <w:rsid w:val="00937B2E"/>
    <w:rsid w:val="00972201"/>
    <w:rsid w:val="009A4135"/>
    <w:rsid w:val="00A02E9F"/>
    <w:rsid w:val="00A3032B"/>
    <w:rsid w:val="00A724C2"/>
    <w:rsid w:val="00AF3B91"/>
    <w:rsid w:val="00AF6364"/>
    <w:rsid w:val="00B24DD0"/>
    <w:rsid w:val="00B6291F"/>
    <w:rsid w:val="00BC0BA8"/>
    <w:rsid w:val="00C33CB5"/>
    <w:rsid w:val="00C407FD"/>
    <w:rsid w:val="00C60B5C"/>
    <w:rsid w:val="00C75C33"/>
    <w:rsid w:val="00CA53CF"/>
    <w:rsid w:val="00CB48C3"/>
    <w:rsid w:val="00DA3C1C"/>
    <w:rsid w:val="00DA6887"/>
    <w:rsid w:val="00DB2FDE"/>
    <w:rsid w:val="00DB479F"/>
    <w:rsid w:val="00DF0D87"/>
    <w:rsid w:val="00E42747"/>
    <w:rsid w:val="00E459EA"/>
    <w:rsid w:val="00E503E4"/>
    <w:rsid w:val="00F47AFC"/>
    <w:rsid w:val="00F8587A"/>
    <w:rsid w:val="00F90637"/>
    <w:rsid w:val="00FB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98"/>
    <w:pPr>
      <w:spacing w:after="160" w:line="259" w:lineRule="auto"/>
    </w:pPr>
    <w:rPr>
      <w:kern w:val="2"/>
      <w:sz w:val="22"/>
      <w:szCs w:val="22"/>
      <w:lang w:val="es-AR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Textodeglobo">
    <w:name w:val="Balloon Text"/>
    <w:basedOn w:val="Normal"/>
    <w:link w:val="TextodegloboCar"/>
    <w:uiPriority w:val="99"/>
    <w:semiHidden/>
    <w:unhideWhenUsed/>
    <w:rsid w:val="007C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5C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65C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303371"/>
  </w:style>
  <w:style w:type="paragraph" w:customStyle="1" w:styleId="normal0">
    <w:name w:val="normal"/>
    <w:rsid w:val="0067611E"/>
    <w:pPr>
      <w:widowControl w:val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weiss\Downloads\07f0fc1a-9d18-463d-85d1-fd69b4105792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8C1CB-6D55-4668-8446-BEFDB797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07f0fc1a-9d18-463d-85d1-fd69b4105792 (1)</Template>
  <TotalTime>11</TotalTime>
  <Pages>14</Pages>
  <Words>2671</Words>
  <Characters>16458</Characters>
  <Application>Microsoft Office Word</Application>
  <DocSecurity>0</DocSecurity>
  <Lines>449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Paz Weiss Reynoso</dc:creator>
  <cp:lastModifiedBy>maweiss</cp:lastModifiedBy>
  <cp:revision>6</cp:revision>
  <cp:lastPrinted>2026-10-19T19:52:00Z</cp:lastPrinted>
  <dcterms:created xsi:type="dcterms:W3CDTF">2026-10-19T17:53:00Z</dcterms:created>
  <dcterms:modified xsi:type="dcterms:W3CDTF">2026-10-19T19:55:00Z</dcterms:modified>
</cp:coreProperties>
</file>