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B566C5">
        <w:rPr>
          <w:szCs w:val="24"/>
          <w:lang w:val="es-ES"/>
        </w:rPr>
        <w:t>2</w:t>
      </w:r>
      <w:r w:rsidR="007A45AE">
        <w:rPr>
          <w:szCs w:val="24"/>
          <w:lang w:val="es-ES"/>
        </w:rPr>
        <w:t>765</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B566C5">
        <w:rPr>
          <w:szCs w:val="24"/>
        </w:rPr>
        <w:t>2</w:t>
      </w:r>
      <w:r w:rsidR="007A45AE">
        <w:rPr>
          <w:szCs w:val="24"/>
        </w:rPr>
        <w:t>765</w:t>
      </w:r>
      <w:r w:rsidR="000B5A71">
        <w:rPr>
          <w:szCs w:val="24"/>
        </w:rPr>
        <w:t>-</w:t>
      </w:r>
      <w:r w:rsidR="006576F3">
        <w:rPr>
          <w:szCs w:val="24"/>
        </w:rPr>
        <w:t>D</w:t>
      </w:r>
      <w:r w:rsidRPr="00E94781">
        <w:rPr>
          <w:szCs w:val="24"/>
        </w:rPr>
        <w:t>-2026</w:t>
      </w:r>
      <w:r w:rsidR="00B566C5">
        <w:rPr>
          <w:szCs w:val="24"/>
        </w:rPr>
        <w:t xml:space="preserve">, de autoría del diputado </w:t>
      </w:r>
      <w:r w:rsidR="007A45AE">
        <w:rPr>
          <w:szCs w:val="24"/>
        </w:rPr>
        <w:t>Santoro, Leandro</w:t>
      </w:r>
      <w:r w:rsidR="00084E3C">
        <w:rPr>
          <w:szCs w:val="24"/>
        </w:rPr>
        <w:t>,</w:t>
      </w:r>
      <w:r w:rsidR="004C1176">
        <w:rPr>
          <w:szCs w:val="24"/>
        </w:rPr>
        <w:t xml:space="preserve"> </w:t>
      </w:r>
      <w:r w:rsidR="00E35A94">
        <w:rPr>
          <w:szCs w:val="24"/>
        </w:rPr>
        <w:t xml:space="preserve">referido a </w:t>
      </w:r>
      <w:r w:rsidR="005D2AE9">
        <w:rPr>
          <w:szCs w:val="24"/>
        </w:rPr>
        <w:t xml:space="preserve">declarar </w:t>
      </w:r>
      <w:r w:rsidR="007A45AE" w:rsidRPr="007A45AE">
        <w:rPr>
          <w:szCs w:val="24"/>
        </w:rPr>
        <w:t xml:space="preserve">de Interés Cultural y Educativo el libro “76. Crónica de un año que cambió nuestra historia para siempre”, del historiador y divulgador Felipe </w:t>
      </w:r>
      <w:proofErr w:type="spellStart"/>
      <w:r w:rsidR="007A45AE" w:rsidRPr="007A45AE">
        <w:rPr>
          <w:szCs w:val="24"/>
        </w:rPr>
        <w:t>Pigna</w:t>
      </w:r>
      <w:proofErr w:type="spellEnd"/>
      <w:r w:rsidR="007A45AE" w:rsidRPr="007A45AE">
        <w:rPr>
          <w:szCs w:val="24"/>
        </w:rPr>
        <w:t>.</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7A45AE" w:rsidRPr="007A45AE" w:rsidRDefault="007A45AE" w:rsidP="007A45AE">
      <w:pPr>
        <w:rPr>
          <w:szCs w:val="24"/>
        </w:rPr>
      </w:pPr>
      <w:r>
        <w:rPr>
          <w:szCs w:val="24"/>
        </w:rPr>
        <w:t>Que l</w:t>
      </w:r>
      <w:r w:rsidRPr="007A45AE">
        <w:rPr>
          <w:szCs w:val="24"/>
        </w:rPr>
        <w:t xml:space="preserve">a obra “76. Crónica de un año que cambió nuestra historia para siempre” de Felipe </w:t>
      </w:r>
      <w:proofErr w:type="spellStart"/>
      <w:r w:rsidRPr="007A45AE">
        <w:rPr>
          <w:szCs w:val="24"/>
        </w:rPr>
        <w:t>Pigna</w:t>
      </w:r>
      <w:proofErr w:type="spellEnd"/>
      <w:r w:rsidRPr="007A45AE">
        <w:rPr>
          <w:szCs w:val="24"/>
        </w:rPr>
        <w:t xml:space="preserve"> reconstruye los 366 días de 1976, el año del golpe de Estado del 24 de marzo. Felipe </w:t>
      </w:r>
      <w:proofErr w:type="spellStart"/>
      <w:r w:rsidRPr="007A45AE">
        <w:rPr>
          <w:szCs w:val="24"/>
        </w:rPr>
        <w:t>Pigna</w:t>
      </w:r>
      <w:proofErr w:type="spellEnd"/>
      <w:r w:rsidRPr="007A45AE">
        <w:rPr>
          <w:szCs w:val="24"/>
        </w:rPr>
        <w:t xml:space="preserve"> nació en Mercedes, Provincia de Buenos Aires, el 29 de mayo de 1959. Es Profesor de Historia, egresado del Instituto Superior del Profesorado "Joaquín V. González". Ejerció la docencia en los niveles secundario y universitario. Su colección Los Mitos de la Historia Argentina reformuló la divulgación histórica en la Argentina. Condujo el ciclo “Algo habrán hecho por la historia argentina”, que recibió varios premios Martín Fierro. Es creador y director de El Historiador, el sitio web de historia más visitado del país.</w:t>
      </w:r>
    </w:p>
    <w:p w:rsidR="007A45AE" w:rsidRDefault="007A45AE" w:rsidP="007A45AE">
      <w:pPr>
        <w:rPr>
          <w:szCs w:val="24"/>
        </w:rPr>
      </w:pPr>
    </w:p>
    <w:p w:rsidR="007A45AE" w:rsidRPr="007A45AE" w:rsidRDefault="007A45AE" w:rsidP="007A45AE">
      <w:pPr>
        <w:rPr>
          <w:szCs w:val="24"/>
        </w:rPr>
      </w:pPr>
      <w:r>
        <w:rPr>
          <w:szCs w:val="24"/>
        </w:rPr>
        <w:t xml:space="preserve">Que </w:t>
      </w:r>
      <w:proofErr w:type="spellStart"/>
      <w:r w:rsidRPr="007A45AE">
        <w:rPr>
          <w:szCs w:val="24"/>
        </w:rPr>
        <w:t>Pigna</w:t>
      </w:r>
      <w:proofErr w:type="spellEnd"/>
      <w:r w:rsidRPr="007A45AE">
        <w:rPr>
          <w:szCs w:val="24"/>
        </w:rPr>
        <w:t xml:space="preserve"> recibió el Premio </w:t>
      </w:r>
      <w:proofErr w:type="spellStart"/>
      <w:r w:rsidRPr="007A45AE">
        <w:rPr>
          <w:szCs w:val="24"/>
        </w:rPr>
        <w:t>Konex</w:t>
      </w:r>
      <w:proofErr w:type="spellEnd"/>
      <w:r w:rsidRPr="007A45AE">
        <w:rPr>
          <w:szCs w:val="24"/>
        </w:rPr>
        <w:t xml:space="preserve"> en Comunicación-Periodismo, el Premio Manuel Alvar de Estudios Humanísticos en España, y Menciones de Honor del Congreso de la Nación y de esta Legislatura de la Ciudad de Buenos Aires.</w:t>
      </w:r>
    </w:p>
    <w:p w:rsidR="007A45AE" w:rsidRDefault="007A45AE" w:rsidP="007A45AE">
      <w:pPr>
        <w:rPr>
          <w:szCs w:val="24"/>
        </w:rPr>
      </w:pPr>
    </w:p>
    <w:p w:rsidR="007A45AE" w:rsidRPr="007A45AE" w:rsidRDefault="007A45AE" w:rsidP="007A45AE">
      <w:pPr>
        <w:rPr>
          <w:szCs w:val="24"/>
        </w:rPr>
      </w:pPr>
      <w:r>
        <w:rPr>
          <w:szCs w:val="24"/>
        </w:rPr>
        <w:t>Que el</w:t>
      </w:r>
      <w:r w:rsidRPr="007A45AE">
        <w:rPr>
          <w:szCs w:val="24"/>
        </w:rPr>
        <w:t xml:space="preserve"> libro“76. Crónica de un año que cambió nuestra historia para siempre” tiene como aporte central demostrar que el golpe no fue un evento repentino, sino más bien, hubo condiciones previas políticas, económicas y culturales que lo hicieron posible. Medios gráficos, radiales y digitales de todo el país valoraron esta perspectiva en sus coberturas del lanzamiento. “76” expone la relación entre la represión política y el modelo económico de la Junta Militar. En ese sentido, se encarga de mostrar el proceso que llevó al golpe desde 1974, con el accionar de la Triple A, la crisis del gobierno de María Estela Martínez de Perón y el deterioro progresivo de las garantías constitucionales.</w:t>
      </w:r>
    </w:p>
    <w:p w:rsidR="007A45AE" w:rsidRDefault="007A45AE" w:rsidP="007A45AE">
      <w:pPr>
        <w:rPr>
          <w:szCs w:val="24"/>
        </w:rPr>
      </w:pPr>
    </w:p>
    <w:p w:rsidR="007A45AE" w:rsidRPr="007A45AE" w:rsidRDefault="007A45AE" w:rsidP="007A45AE">
      <w:pPr>
        <w:rPr>
          <w:szCs w:val="24"/>
        </w:rPr>
      </w:pPr>
      <w:r>
        <w:rPr>
          <w:szCs w:val="24"/>
        </w:rPr>
        <w:t xml:space="preserve">Que </w:t>
      </w:r>
      <w:proofErr w:type="spellStart"/>
      <w:r>
        <w:rPr>
          <w:szCs w:val="24"/>
        </w:rPr>
        <w:t>Pigna</w:t>
      </w:r>
      <w:proofErr w:type="spellEnd"/>
      <w:r w:rsidRPr="007A45AE">
        <w:rPr>
          <w:szCs w:val="24"/>
        </w:rPr>
        <w:t xml:space="preserve"> demuestra que la violencia fue el instrumento para imponer el plan de José Alfredo Martínez de Hoz, basado en la desindustrialización, el endeudamiento externo y la especulación financiera. El libro también muestra la continuidad entre esas decisiones de 1976 y las crisis económicas posteriores. A su vez, describe el control de la información y la represión cultural durante la dictadura como las listas negras, el Ente de Calificación Cinematográfica, la quema de libros y la entrega clandestina de los premios Martín Fierro, entre otros mecanismos. También rescata las estrategias de resistencia que desafiaron el cerco mediático tales como la Agencia Clandestina de Noticias (ANCLA), creada por Rodolfo </w:t>
      </w:r>
      <w:proofErr w:type="spellStart"/>
      <w:r w:rsidRPr="007A45AE">
        <w:rPr>
          <w:szCs w:val="24"/>
        </w:rPr>
        <w:t>Walsh</w:t>
      </w:r>
      <w:proofErr w:type="spellEnd"/>
      <w:r w:rsidRPr="007A45AE">
        <w:rPr>
          <w:szCs w:val="24"/>
        </w:rPr>
        <w:t>.</w:t>
      </w:r>
    </w:p>
    <w:p w:rsidR="007A45AE" w:rsidRDefault="007A45AE" w:rsidP="007A45AE">
      <w:pPr>
        <w:rPr>
          <w:szCs w:val="24"/>
        </w:rPr>
      </w:pPr>
    </w:p>
    <w:p w:rsidR="007A45AE" w:rsidRPr="007A45AE" w:rsidRDefault="007A45AE" w:rsidP="007A45AE">
      <w:pPr>
        <w:rPr>
          <w:szCs w:val="24"/>
        </w:rPr>
      </w:pPr>
      <w:r>
        <w:rPr>
          <w:szCs w:val="24"/>
        </w:rPr>
        <w:t>Que e</w:t>
      </w:r>
      <w:r w:rsidRPr="007A45AE">
        <w:rPr>
          <w:szCs w:val="24"/>
        </w:rPr>
        <w:t>l libro reúne testimonios de personas con posiciones muy distintas en el escenario de 1976, lo cual le entrega un tinte de diversa densidad testimonial que lo distingue de la divulgación histórica convencional.</w:t>
      </w:r>
    </w:p>
    <w:p w:rsidR="007A45AE" w:rsidRDefault="007A45AE" w:rsidP="007A45AE">
      <w:pPr>
        <w:rPr>
          <w:szCs w:val="24"/>
        </w:rPr>
      </w:pPr>
    </w:p>
    <w:p w:rsidR="008F7421" w:rsidRDefault="007A45AE" w:rsidP="007A45AE">
      <w:pPr>
        <w:rPr>
          <w:szCs w:val="24"/>
        </w:rPr>
      </w:pPr>
      <w:r>
        <w:rPr>
          <w:szCs w:val="24"/>
        </w:rPr>
        <w:t>Que e</w:t>
      </w:r>
      <w:r w:rsidRPr="007A45AE">
        <w:rPr>
          <w:szCs w:val="24"/>
        </w:rPr>
        <w:t>n síntesis, este libro promueve la reconstrucción histórica de los acontecimientos de nuestro país, nuestras personas, nuestras calles, con la letra puesta en la memoria de todos quienes integraron o pueden acceder hoy día a estas obras imprescindibles para la construcción de nuestra trayectoria política.</w:t>
      </w:r>
    </w:p>
    <w:p w:rsidR="008459ED" w:rsidRPr="008459ED" w:rsidRDefault="008459ED" w:rsidP="008459ED">
      <w:pPr>
        <w:rPr>
          <w:szCs w:val="24"/>
        </w:rPr>
      </w:pPr>
    </w:p>
    <w:p w:rsidR="00CF0AE5" w:rsidRPr="00E94781" w:rsidRDefault="00CF0AE5" w:rsidP="00CE2EDE">
      <w:pPr>
        <w:rPr>
          <w:szCs w:val="24"/>
        </w:rPr>
      </w:pPr>
      <w:r w:rsidRPr="00E94781">
        <w:rPr>
          <w:szCs w:val="24"/>
        </w:rPr>
        <w:lastRenderedPageBreak/>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Pr="00E94781" w:rsidRDefault="00CF0AE5" w:rsidP="00CE2EDE">
      <w:pPr>
        <w:pStyle w:val="Normal1"/>
        <w:spacing w:line="240" w:lineRule="auto"/>
        <w:jc w:val="both"/>
        <w:rPr>
          <w:rFonts w:ascii="Times New Roman" w:hAnsi="Times New Roman" w:cs="Times New Roman"/>
          <w:b/>
          <w:sz w:val="24"/>
          <w:szCs w:val="24"/>
          <w:lang w:val="es-ES"/>
        </w:rPr>
      </w:pPr>
    </w:p>
    <w:p w:rsidR="00E160C8" w:rsidRDefault="00E160C8"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4C1176" w:rsidRPr="004C1176" w:rsidRDefault="00E160C8" w:rsidP="00E160C8">
      <w:pPr>
        <w:pStyle w:val="Normal1"/>
        <w:spacing w:line="240" w:lineRule="auto"/>
        <w:jc w:val="both"/>
        <w:rPr>
          <w:rFonts w:ascii="Times New Roman" w:hAnsi="Times New Roman" w:cs="Times New Roman"/>
          <w:sz w:val="24"/>
          <w:szCs w:val="24"/>
          <w:lang w:val="es-ES"/>
        </w:rPr>
      </w:pPr>
      <w:r w:rsidRPr="00E160C8">
        <w:rPr>
          <w:rFonts w:ascii="Times New Roman" w:hAnsi="Times New Roman" w:cs="Times New Roman"/>
          <w:sz w:val="24"/>
          <w:szCs w:val="24"/>
          <w:lang w:val="es-ES"/>
        </w:rPr>
        <w:t xml:space="preserve">Se declara de Interés de la Ciudad Autónoma de Buenos Aires para la Comunicación Social </w:t>
      </w:r>
      <w:r w:rsidR="007A45AE">
        <w:rPr>
          <w:rFonts w:ascii="Times New Roman" w:hAnsi="Times New Roman" w:cs="Times New Roman"/>
          <w:sz w:val="24"/>
          <w:szCs w:val="24"/>
          <w:lang w:val="es-ES"/>
        </w:rPr>
        <w:t xml:space="preserve">y para la Educación </w:t>
      </w:r>
      <w:r w:rsidRPr="00E160C8">
        <w:rPr>
          <w:rFonts w:ascii="Times New Roman" w:hAnsi="Times New Roman" w:cs="Times New Roman"/>
          <w:sz w:val="24"/>
          <w:szCs w:val="24"/>
          <w:lang w:val="es-ES"/>
        </w:rPr>
        <w:t>el libro</w:t>
      </w:r>
      <w:r>
        <w:rPr>
          <w:rFonts w:ascii="Times New Roman" w:hAnsi="Times New Roman" w:cs="Times New Roman"/>
          <w:sz w:val="24"/>
          <w:szCs w:val="24"/>
          <w:lang w:val="es-ES"/>
        </w:rPr>
        <w:t xml:space="preserve"> </w:t>
      </w:r>
      <w:r w:rsidR="007A45AE" w:rsidRPr="007A45AE">
        <w:rPr>
          <w:rFonts w:ascii="Times New Roman" w:hAnsi="Times New Roman" w:cs="Times New Roman"/>
          <w:sz w:val="24"/>
          <w:szCs w:val="24"/>
          <w:lang w:val="es-ES"/>
        </w:rPr>
        <w:t>“76. Crónica de un año que cambió nuestra historia para siempre”</w:t>
      </w:r>
      <w:r w:rsidR="00D7717B">
        <w:rPr>
          <w:rFonts w:ascii="Times New Roman" w:hAnsi="Times New Roman" w:cs="Times New Roman"/>
          <w:sz w:val="24"/>
          <w:szCs w:val="24"/>
          <w:lang w:val="es-ES"/>
        </w:rPr>
        <w:t xml:space="preserve">, de autoría de Felipe </w:t>
      </w:r>
      <w:proofErr w:type="spellStart"/>
      <w:r w:rsidR="00D7717B">
        <w:rPr>
          <w:rFonts w:ascii="Times New Roman" w:hAnsi="Times New Roman" w:cs="Times New Roman"/>
          <w:sz w:val="24"/>
          <w:szCs w:val="24"/>
          <w:lang w:val="es-ES"/>
        </w:rPr>
        <w:t>Pigna</w:t>
      </w:r>
      <w:proofErr w:type="spellEnd"/>
      <w:r w:rsidR="00D7717B">
        <w:rPr>
          <w:rFonts w:ascii="Times New Roman" w:hAnsi="Times New Roman" w:cs="Times New Roman"/>
          <w:sz w:val="24"/>
          <w:szCs w:val="24"/>
          <w:lang w:val="es-ES"/>
        </w:rPr>
        <w:t>.</w:t>
      </w:r>
    </w:p>
    <w:p w:rsidR="0029271B" w:rsidRDefault="0029271B" w:rsidP="00CE2EDE">
      <w:pPr>
        <w:rPr>
          <w:szCs w:val="24"/>
          <w:lang w:val="es-ES"/>
        </w:rPr>
      </w:pP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C33BF4" w:rsidRDefault="00C33BF4" w:rsidP="00CF0AE5">
      <w:pPr>
        <w:jc w:val="left"/>
        <w:rPr>
          <w:szCs w:val="24"/>
        </w:rPr>
      </w:pPr>
    </w:p>
    <w:p w:rsidR="00C33BF4" w:rsidRDefault="00C33BF4"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9CD" w:rsidRDefault="00A169CD">
      <w:r>
        <w:separator/>
      </w:r>
    </w:p>
  </w:endnote>
  <w:endnote w:type="continuationSeparator" w:id="0">
    <w:p w:rsidR="00A169CD" w:rsidRDefault="00A169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7717B" w:rsidRPr="00D7717B">
        <w:rPr>
          <w:noProof/>
          <w:color w:val="333333"/>
          <w:sz w:val="20"/>
        </w:rPr>
        <w:t>22/10/2026 14:35:00</w:t>
      </w:r>
    </w:fldSimple>
    <w:r w:rsidRPr="001C19C4">
      <w:rPr>
        <w:color w:val="333333"/>
        <w:sz w:val="20"/>
      </w:rPr>
      <w:t xml:space="preserve">  -  Cantidad de caracteres: </w:t>
    </w:r>
    <w:fldSimple w:instr=" NUMCHARS  \* MERGEFORMAT ">
      <w:r w:rsidR="00D7717B" w:rsidRPr="00D7717B">
        <w:rPr>
          <w:noProof/>
          <w:color w:val="333333"/>
          <w:sz w:val="20"/>
        </w:rPr>
        <w:t>3195</w:t>
      </w:r>
    </w:fldSimple>
    <w:r w:rsidRPr="001C19C4">
      <w:rPr>
        <w:color w:val="333333"/>
        <w:sz w:val="20"/>
      </w:rPr>
      <w:t xml:space="preserve"> - Cantidad de palabras: </w:t>
    </w:r>
    <w:fldSimple w:instr=" NUMWORDS  \* MERGEFORMAT ">
      <w:r w:rsidR="00D7717B" w:rsidRPr="00D7717B">
        <w:rPr>
          <w:noProof/>
          <w:color w:val="333333"/>
          <w:sz w:val="20"/>
        </w:rPr>
        <w:t>593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E7B77" w:rsidRPr="001C19C4">
      <w:rPr>
        <w:rStyle w:val="Nmerodepgina"/>
        <w:color w:val="333333"/>
      </w:rPr>
      <w:fldChar w:fldCharType="begin"/>
    </w:r>
    <w:r w:rsidRPr="001C19C4">
      <w:rPr>
        <w:rStyle w:val="Nmerodepgina"/>
        <w:color w:val="333333"/>
      </w:rPr>
      <w:instrText xml:space="preserve"> PAGE </w:instrText>
    </w:r>
    <w:r w:rsidR="002E7B77" w:rsidRPr="001C19C4">
      <w:rPr>
        <w:rStyle w:val="Nmerodepgina"/>
        <w:color w:val="333333"/>
      </w:rPr>
      <w:fldChar w:fldCharType="separate"/>
    </w:r>
    <w:r w:rsidR="00D7717B">
      <w:rPr>
        <w:rStyle w:val="Nmerodepgina"/>
        <w:noProof/>
        <w:color w:val="333333"/>
      </w:rPr>
      <w:t>2</w:t>
    </w:r>
    <w:r w:rsidR="002E7B77" w:rsidRPr="001C19C4">
      <w:rPr>
        <w:rStyle w:val="Nmerodepgina"/>
        <w:color w:val="333333"/>
      </w:rPr>
      <w:fldChar w:fldCharType="end"/>
    </w:r>
    <w:r w:rsidRPr="001C19C4">
      <w:rPr>
        <w:rStyle w:val="Nmerodepgina"/>
        <w:color w:val="333333"/>
      </w:rPr>
      <w:t>/</w:t>
    </w:r>
    <w:fldSimple w:instr=" NUMPAGES  \* MERGEFORMAT ">
      <w:r w:rsidR="00D7717B" w:rsidRPr="00D7717B">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9CD" w:rsidRDefault="00A169CD">
      <w:r>
        <w:separator/>
      </w:r>
    </w:p>
  </w:footnote>
  <w:footnote w:type="continuationSeparator" w:id="0">
    <w:p w:rsidR="00A169CD" w:rsidRDefault="00A169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7458"/>
  </w:hdrShapeDefaults>
  <w:footnotePr>
    <w:footnote w:id="-1"/>
    <w:footnote w:id="0"/>
  </w:footnotePr>
  <w:endnotePr>
    <w:endnote w:id="-1"/>
    <w:endnote w:id="0"/>
  </w:endnotePr>
  <w:compat/>
  <w:rsids>
    <w:rsidRoot w:val="00103E94"/>
    <w:rsid w:val="00000813"/>
    <w:rsid w:val="000166AC"/>
    <w:rsid w:val="00026430"/>
    <w:rsid w:val="00030DF5"/>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5802"/>
    <w:rsid w:val="00205DAD"/>
    <w:rsid w:val="002122DC"/>
    <w:rsid w:val="00223436"/>
    <w:rsid w:val="002327DE"/>
    <w:rsid w:val="00246DF0"/>
    <w:rsid w:val="00250832"/>
    <w:rsid w:val="0026220D"/>
    <w:rsid w:val="00265972"/>
    <w:rsid w:val="00267F6B"/>
    <w:rsid w:val="00275865"/>
    <w:rsid w:val="00276A7E"/>
    <w:rsid w:val="0029271B"/>
    <w:rsid w:val="00296815"/>
    <w:rsid w:val="002971A4"/>
    <w:rsid w:val="00297AEF"/>
    <w:rsid w:val="002B22E8"/>
    <w:rsid w:val="002B47D0"/>
    <w:rsid w:val="002C210B"/>
    <w:rsid w:val="002C768C"/>
    <w:rsid w:val="002D05E9"/>
    <w:rsid w:val="002D533A"/>
    <w:rsid w:val="002D778C"/>
    <w:rsid w:val="002E38C3"/>
    <w:rsid w:val="002E7B77"/>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A45AE"/>
    <w:rsid w:val="007B0FD7"/>
    <w:rsid w:val="007B3715"/>
    <w:rsid w:val="007B6DE7"/>
    <w:rsid w:val="007C0373"/>
    <w:rsid w:val="007C0CF9"/>
    <w:rsid w:val="007D2459"/>
    <w:rsid w:val="007E2AB2"/>
    <w:rsid w:val="007E3534"/>
    <w:rsid w:val="007E36D1"/>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D12C8"/>
    <w:rsid w:val="008E5853"/>
    <w:rsid w:val="008F7421"/>
    <w:rsid w:val="009006E2"/>
    <w:rsid w:val="0090597A"/>
    <w:rsid w:val="00906685"/>
    <w:rsid w:val="00910E0F"/>
    <w:rsid w:val="0091690E"/>
    <w:rsid w:val="00925199"/>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2BE5"/>
    <w:rsid w:val="009E2555"/>
    <w:rsid w:val="009E4D29"/>
    <w:rsid w:val="009E5835"/>
    <w:rsid w:val="009F0DCC"/>
    <w:rsid w:val="009F4E01"/>
    <w:rsid w:val="00A06A2B"/>
    <w:rsid w:val="00A07090"/>
    <w:rsid w:val="00A11AD7"/>
    <w:rsid w:val="00A1286B"/>
    <w:rsid w:val="00A169CD"/>
    <w:rsid w:val="00A1700D"/>
    <w:rsid w:val="00A240CA"/>
    <w:rsid w:val="00A327F1"/>
    <w:rsid w:val="00A35A0A"/>
    <w:rsid w:val="00A37C1D"/>
    <w:rsid w:val="00A40D86"/>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60A7"/>
    <w:rsid w:val="00CC20B0"/>
    <w:rsid w:val="00CC39EE"/>
    <w:rsid w:val="00CE0744"/>
    <w:rsid w:val="00CE163F"/>
    <w:rsid w:val="00CE2EDE"/>
    <w:rsid w:val="00CE7125"/>
    <w:rsid w:val="00CF0AE5"/>
    <w:rsid w:val="00CF3359"/>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7717B"/>
    <w:rsid w:val="00D8225A"/>
    <w:rsid w:val="00D85F15"/>
    <w:rsid w:val="00D927D4"/>
    <w:rsid w:val="00DD2795"/>
    <w:rsid w:val="00DD4DE2"/>
    <w:rsid w:val="00DD4FFC"/>
    <w:rsid w:val="00DD520D"/>
    <w:rsid w:val="00DE5364"/>
    <w:rsid w:val="00DF0164"/>
    <w:rsid w:val="00DF14A9"/>
    <w:rsid w:val="00DF54AA"/>
    <w:rsid w:val="00DF5561"/>
    <w:rsid w:val="00E027B5"/>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1ADD"/>
    <w:rsid w:val="00F640D0"/>
    <w:rsid w:val="00F75389"/>
    <w:rsid w:val="00F903E8"/>
    <w:rsid w:val="00FA0C8C"/>
    <w:rsid w:val="00FB18B4"/>
    <w:rsid w:val="00FB4F49"/>
    <w:rsid w:val="00FD07F5"/>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1FB930-45C8-45FB-A732-8DF586954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41</TotalTime>
  <Pages>2</Pages>
  <Words>593</Words>
  <Characters>3195</Characters>
  <Application>Microsoft Office Word</Application>
  <DocSecurity>0</DocSecurity>
  <Lines>91</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5</cp:revision>
  <cp:lastPrinted>2020-02-28T17:24:00Z</cp:lastPrinted>
  <dcterms:created xsi:type="dcterms:W3CDTF">2026-10-22T16:55:00Z</dcterms:created>
  <dcterms:modified xsi:type="dcterms:W3CDTF">2026-10-22T18:00:00Z</dcterms:modified>
</cp:coreProperties>
</file>