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7E64DE">
        <w:rPr>
          <w:szCs w:val="24"/>
          <w:lang w:val="es-ES"/>
        </w:rPr>
        <w:t>8</w:t>
      </w:r>
      <w:r w:rsidR="00094829">
        <w:rPr>
          <w:szCs w:val="24"/>
          <w:lang w:val="es-ES"/>
        </w:rPr>
        <w:t>84</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7E64DE">
        <w:rPr>
          <w:szCs w:val="24"/>
        </w:rPr>
        <w:t>8</w:t>
      </w:r>
      <w:r w:rsidR="00094829">
        <w:rPr>
          <w:szCs w:val="24"/>
        </w:rPr>
        <w:t>84</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r w:rsidR="00094829">
        <w:rPr>
          <w:szCs w:val="24"/>
        </w:rPr>
        <w:t>Neira, Claudia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094829" w:rsidRPr="00094829">
        <w:rPr>
          <w:szCs w:val="24"/>
        </w:rPr>
        <w:t xml:space="preserve">de interés cultural y deportivo de la Ciudad la publicación “Espacios Activos: Llevando el legado hacia el futuro” (“Active </w:t>
      </w:r>
      <w:proofErr w:type="spellStart"/>
      <w:r w:rsidR="00094829" w:rsidRPr="00094829">
        <w:rPr>
          <w:szCs w:val="24"/>
        </w:rPr>
        <w:t>Spaces</w:t>
      </w:r>
      <w:proofErr w:type="spellEnd"/>
      <w:r w:rsidR="00094829" w:rsidRPr="00094829">
        <w:rPr>
          <w:szCs w:val="24"/>
        </w:rPr>
        <w:t xml:space="preserve">: </w:t>
      </w:r>
      <w:proofErr w:type="spellStart"/>
      <w:r w:rsidR="00094829" w:rsidRPr="00094829">
        <w:rPr>
          <w:szCs w:val="24"/>
        </w:rPr>
        <w:t>Carrying</w:t>
      </w:r>
      <w:proofErr w:type="spellEnd"/>
      <w:r w:rsidR="00094829" w:rsidRPr="00094829">
        <w:rPr>
          <w:szCs w:val="24"/>
        </w:rPr>
        <w:t xml:space="preserve"> </w:t>
      </w:r>
      <w:proofErr w:type="spellStart"/>
      <w:r w:rsidR="00094829" w:rsidRPr="00094829">
        <w:rPr>
          <w:szCs w:val="24"/>
        </w:rPr>
        <w:t>Legacy</w:t>
      </w:r>
      <w:proofErr w:type="spellEnd"/>
      <w:r w:rsidR="00094829" w:rsidRPr="00094829">
        <w:rPr>
          <w:szCs w:val="24"/>
        </w:rPr>
        <w:t xml:space="preserve"> </w:t>
      </w:r>
      <w:proofErr w:type="spellStart"/>
      <w:r w:rsidR="00094829" w:rsidRPr="00094829">
        <w:rPr>
          <w:szCs w:val="24"/>
        </w:rPr>
        <w:t>into</w:t>
      </w:r>
      <w:proofErr w:type="spellEnd"/>
      <w:r w:rsidR="00094829" w:rsidRPr="00094829">
        <w:rPr>
          <w:szCs w:val="24"/>
        </w:rPr>
        <w:t xml:space="preserve"> </w:t>
      </w:r>
      <w:proofErr w:type="spellStart"/>
      <w:r w:rsidR="00094829" w:rsidRPr="00094829">
        <w:rPr>
          <w:szCs w:val="24"/>
        </w:rPr>
        <w:t>the</w:t>
      </w:r>
      <w:proofErr w:type="spellEnd"/>
      <w:r w:rsidR="00094829" w:rsidRPr="00094829">
        <w:rPr>
          <w:szCs w:val="24"/>
        </w:rPr>
        <w:t xml:space="preserve"> </w:t>
      </w:r>
      <w:proofErr w:type="spellStart"/>
      <w:r w:rsidR="00094829" w:rsidRPr="00094829">
        <w:rPr>
          <w:szCs w:val="24"/>
        </w:rPr>
        <w:t>Future</w:t>
      </w:r>
      <w:proofErr w:type="spellEnd"/>
      <w:r w:rsidR="00094829" w:rsidRPr="00094829">
        <w:rPr>
          <w:szCs w:val="24"/>
        </w:rPr>
        <w:t>”), desarrollada por la Unión Internacional de Arquitectos (UIA), que contó con la participación del arquitecto argentino Agustín García Puga.</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7E64DE" w:rsidRDefault="00094829" w:rsidP="007E64DE">
      <w:pPr>
        <w:rPr>
          <w:szCs w:val="24"/>
        </w:rPr>
      </w:pPr>
      <w:r>
        <w:rPr>
          <w:szCs w:val="24"/>
        </w:rPr>
        <w:t>Que l</w:t>
      </w:r>
      <w:r w:rsidRPr="00094829">
        <w:rPr>
          <w:szCs w:val="24"/>
        </w:rPr>
        <w:t xml:space="preserve">a publicación “Espacios Activos: Llevando el legado hacia el futuro” (Active </w:t>
      </w:r>
      <w:proofErr w:type="spellStart"/>
      <w:r w:rsidRPr="00094829">
        <w:rPr>
          <w:szCs w:val="24"/>
        </w:rPr>
        <w:t>Spaces</w:t>
      </w:r>
      <w:proofErr w:type="spellEnd"/>
      <w:r w:rsidRPr="00094829">
        <w:rPr>
          <w:szCs w:val="24"/>
        </w:rPr>
        <w:t xml:space="preserve">: </w:t>
      </w:r>
      <w:proofErr w:type="spellStart"/>
      <w:r w:rsidRPr="00094829">
        <w:rPr>
          <w:szCs w:val="24"/>
        </w:rPr>
        <w:t>Carrying</w:t>
      </w:r>
      <w:proofErr w:type="spellEnd"/>
      <w:r w:rsidRPr="00094829">
        <w:rPr>
          <w:szCs w:val="24"/>
        </w:rPr>
        <w:t xml:space="preserve"> </w:t>
      </w:r>
      <w:proofErr w:type="spellStart"/>
      <w:r w:rsidRPr="00094829">
        <w:rPr>
          <w:szCs w:val="24"/>
        </w:rPr>
        <w:t>Legacy</w:t>
      </w:r>
      <w:proofErr w:type="spellEnd"/>
      <w:r w:rsidRPr="00094829">
        <w:rPr>
          <w:szCs w:val="24"/>
        </w:rPr>
        <w:t xml:space="preserve"> </w:t>
      </w:r>
      <w:proofErr w:type="spellStart"/>
      <w:r w:rsidRPr="00094829">
        <w:rPr>
          <w:szCs w:val="24"/>
        </w:rPr>
        <w:t>into</w:t>
      </w:r>
      <w:proofErr w:type="spellEnd"/>
      <w:r w:rsidRPr="00094829">
        <w:rPr>
          <w:szCs w:val="24"/>
        </w:rPr>
        <w:t xml:space="preserve"> </w:t>
      </w:r>
      <w:proofErr w:type="spellStart"/>
      <w:r w:rsidRPr="00094829">
        <w:rPr>
          <w:szCs w:val="24"/>
        </w:rPr>
        <w:t>the</w:t>
      </w:r>
      <w:proofErr w:type="spellEnd"/>
      <w:r w:rsidRPr="00094829">
        <w:rPr>
          <w:szCs w:val="24"/>
        </w:rPr>
        <w:t xml:space="preserve"> </w:t>
      </w:r>
      <w:proofErr w:type="spellStart"/>
      <w:r w:rsidRPr="00094829">
        <w:rPr>
          <w:szCs w:val="24"/>
        </w:rPr>
        <w:t>Future</w:t>
      </w:r>
      <w:proofErr w:type="spellEnd"/>
      <w:r w:rsidRPr="00094829">
        <w:rPr>
          <w:szCs w:val="24"/>
        </w:rPr>
        <w:t xml:space="preserve">), desarrollada por el Programa de Trabajo de Deportes y Ocio de la Unión Internacional de Arquitectos (UIA) y editada en 2026 por René </w:t>
      </w:r>
      <w:proofErr w:type="spellStart"/>
      <w:r w:rsidRPr="00094829">
        <w:rPr>
          <w:szCs w:val="24"/>
        </w:rPr>
        <w:t>Kural</w:t>
      </w:r>
      <w:proofErr w:type="spellEnd"/>
      <w:r w:rsidRPr="00094829">
        <w:rPr>
          <w:szCs w:val="24"/>
        </w:rPr>
        <w:t xml:space="preserve">, Sena </w:t>
      </w:r>
      <w:proofErr w:type="spellStart"/>
      <w:r w:rsidRPr="00094829">
        <w:rPr>
          <w:szCs w:val="24"/>
        </w:rPr>
        <w:t>Özfiliz</w:t>
      </w:r>
      <w:proofErr w:type="spellEnd"/>
      <w:r w:rsidRPr="00094829">
        <w:rPr>
          <w:szCs w:val="24"/>
        </w:rPr>
        <w:t xml:space="preserve"> y </w:t>
      </w:r>
      <w:proofErr w:type="spellStart"/>
      <w:r w:rsidRPr="00094829">
        <w:rPr>
          <w:szCs w:val="24"/>
        </w:rPr>
        <w:t>Simon</w:t>
      </w:r>
      <w:proofErr w:type="spellEnd"/>
      <w:r w:rsidRPr="00094829">
        <w:rPr>
          <w:szCs w:val="24"/>
        </w:rPr>
        <w:t xml:space="preserve"> Chan, reúne experiencias y reflexiones sobre arquitectura deportiva, accesibilidad, sustentabilidad, equidad de género y relación con el entorno urbano. Asimismo, recupera la trayectoria del programa desde 1959 y plantea desafíos para el diseño de espacios destinados al deporte y la recreación.</w:t>
      </w:r>
    </w:p>
    <w:p w:rsidR="00094829" w:rsidRDefault="00094829" w:rsidP="007E64DE">
      <w:pPr>
        <w:rPr>
          <w:szCs w:val="24"/>
        </w:rPr>
      </w:pPr>
    </w:p>
    <w:p w:rsidR="00094829" w:rsidRPr="00094829" w:rsidRDefault="00094829" w:rsidP="00094829">
      <w:pPr>
        <w:rPr>
          <w:szCs w:val="24"/>
        </w:rPr>
      </w:pPr>
      <w:r>
        <w:rPr>
          <w:szCs w:val="24"/>
        </w:rPr>
        <w:t>Que s</w:t>
      </w:r>
      <w:r w:rsidRPr="00094829">
        <w:rPr>
          <w:szCs w:val="24"/>
        </w:rPr>
        <w:t>u relevancia para Buenos Aires reside en la posibilidad de aportar criterios para la planificación, adecuación y gestión de clubes, polideportivos, natatorios, estadios y espacios públicos. La calidad de estas instalaciones incide en las oportunidades de participación, encuentro y disfrute de la comunidad.</w:t>
      </w:r>
    </w:p>
    <w:p w:rsidR="00094829" w:rsidRDefault="00094829" w:rsidP="00094829">
      <w:pPr>
        <w:rPr>
          <w:szCs w:val="24"/>
        </w:rPr>
      </w:pPr>
      <w:r w:rsidRPr="00094829">
        <w:rPr>
          <w:szCs w:val="24"/>
        </w:rPr>
        <w:t>La publicación cuenta con la participación especial del arquitecto argentino Agustín García Puga, autor del artículo “Accesibilidad universal en infraestructuras deportivas y eventos masivos: panorama histórico de la discapacidad en el deporte” (Anexo I), dedicado a la accesibilidad universal en infraestructuras deportivas y eventos masivos. Su contribución incorpora la experiencia profesional argentina a un ámbito internacional de producción e intercambio de conocimiento.</w:t>
      </w:r>
    </w:p>
    <w:p w:rsidR="00094829" w:rsidRDefault="00094829" w:rsidP="00094829">
      <w:pPr>
        <w:rPr>
          <w:szCs w:val="24"/>
        </w:rPr>
      </w:pPr>
    </w:p>
    <w:p w:rsidR="00094829" w:rsidRDefault="00094829" w:rsidP="00094829">
      <w:pPr>
        <w:rPr>
          <w:szCs w:val="24"/>
        </w:rPr>
      </w:pPr>
      <w:r>
        <w:rPr>
          <w:szCs w:val="24"/>
        </w:rPr>
        <w:t>Que el</w:t>
      </w:r>
      <w:r w:rsidRPr="00094829">
        <w:rPr>
          <w:szCs w:val="24"/>
        </w:rPr>
        <w:t xml:space="preserve"> artículo aborda la accesibilidad como una condición integral del proyecto y de la gestión. Considera la seguridad, la autonomía, el confort y la visibilidad para deportistas y espectadores, y contempla las necesidades de personas con discapacidades motrices, visuales, auditivas, sensoriales y cognitivas. A través de ejemplos, examina barreras que persisten en instalaciones deportivas y señala la importancia de prever recorridos adecuados, servicios accesibles y personal capacitado.</w:t>
      </w:r>
    </w:p>
    <w:p w:rsidR="00094829" w:rsidRPr="00094829" w:rsidRDefault="00094829" w:rsidP="00094829">
      <w:pPr>
        <w:rPr>
          <w:szCs w:val="24"/>
        </w:rPr>
      </w:pPr>
    </w:p>
    <w:p w:rsidR="00094829" w:rsidRDefault="00094829" w:rsidP="00094829">
      <w:pPr>
        <w:rPr>
          <w:szCs w:val="24"/>
        </w:rPr>
      </w:pPr>
      <w:r>
        <w:rPr>
          <w:szCs w:val="24"/>
        </w:rPr>
        <w:t>Que e</w:t>
      </w:r>
      <w:r w:rsidRPr="00094829">
        <w:rPr>
          <w:szCs w:val="24"/>
        </w:rPr>
        <w:t>ste enfoque resulta valioso porque permite evaluar las condiciones efectivas de uso de los espacios, más allá del cumplimiento formal de requisitos. Incorporar la accesibilidad desde las primeras etapas del proyecto y sostenerla durante el funcionamiento de las instalaciones contribuye a una participación segura, digna y equitativa.</w:t>
      </w:r>
    </w:p>
    <w:p w:rsidR="00094829" w:rsidRPr="00094829" w:rsidRDefault="00094829" w:rsidP="00094829">
      <w:pPr>
        <w:rPr>
          <w:szCs w:val="24"/>
        </w:rPr>
      </w:pPr>
    </w:p>
    <w:p w:rsidR="00094829" w:rsidRDefault="00094829" w:rsidP="00094829">
      <w:pPr>
        <w:rPr>
          <w:szCs w:val="24"/>
        </w:rPr>
      </w:pPr>
      <w:r>
        <w:rPr>
          <w:szCs w:val="24"/>
        </w:rPr>
        <w:t xml:space="preserve">Que </w:t>
      </w:r>
      <w:r w:rsidRPr="00094829">
        <w:rPr>
          <w:szCs w:val="24"/>
        </w:rPr>
        <w:t xml:space="preserve">Agustín García Puga cuenta con más de veinticinco años de experiencia en infraestructura deportiva, seguridad en estadios y planificación de eventos de gran concurrencia. Se desempeñó como </w:t>
      </w:r>
      <w:proofErr w:type="spellStart"/>
      <w:r w:rsidRPr="00094829">
        <w:rPr>
          <w:szCs w:val="24"/>
        </w:rPr>
        <w:t>DirectorNacional</w:t>
      </w:r>
      <w:proofErr w:type="spellEnd"/>
      <w:r w:rsidRPr="00094829">
        <w:rPr>
          <w:szCs w:val="24"/>
        </w:rPr>
        <w:t xml:space="preserve"> de Seguridad en Eventos Deportivos y como jefe de la Comisión Técnica Evaluadora de Estadios del Ministerio de Seguridad de la Nación. Su trayectoria comprende trabajos de planificación y evaluación vinculados con competencias internacionales, entre ellas Copas América, Copas Mundiales de la FIFA, Copas Libertadores y </w:t>
      </w:r>
      <w:proofErr w:type="gramStart"/>
      <w:r w:rsidRPr="00094829">
        <w:rPr>
          <w:szCs w:val="24"/>
        </w:rPr>
        <w:t>Sudamericanas</w:t>
      </w:r>
      <w:proofErr w:type="gramEnd"/>
      <w:r w:rsidRPr="00094829">
        <w:rPr>
          <w:szCs w:val="24"/>
        </w:rPr>
        <w:t>.</w:t>
      </w:r>
    </w:p>
    <w:p w:rsidR="00094829" w:rsidRDefault="00094829" w:rsidP="00094829">
      <w:pPr>
        <w:rPr>
          <w:szCs w:val="24"/>
        </w:rPr>
      </w:pPr>
    </w:p>
    <w:p w:rsidR="00094829" w:rsidRPr="00094829" w:rsidRDefault="00094829" w:rsidP="00094829">
      <w:pPr>
        <w:rPr>
          <w:szCs w:val="24"/>
        </w:rPr>
      </w:pPr>
      <w:r>
        <w:rPr>
          <w:szCs w:val="24"/>
        </w:rPr>
        <w:t>Que en</w:t>
      </w:r>
      <w:r w:rsidRPr="00094829">
        <w:rPr>
          <w:szCs w:val="24"/>
        </w:rPr>
        <w:t xml:space="preserve"> el ámbito internacional, su trayectoria incluye la presidencia para América Latina y el Caribe de la Asociación Internacional de Instalaciones Deportivas y </w:t>
      </w:r>
      <w:r w:rsidRPr="00094829">
        <w:rPr>
          <w:szCs w:val="24"/>
        </w:rPr>
        <w:lastRenderedPageBreak/>
        <w:t>Recreativas (IAKS LAC) y su participación en el Programa de Trabajo de Deportes y Ocio de la UIA. Estas actividades se vinculan con el desarrollo y la evaluación de criterios para el diseño, la seguridad y el funcionamiento de instalaciones deportivas.</w:t>
      </w:r>
    </w:p>
    <w:p w:rsidR="00094829" w:rsidRDefault="00094829" w:rsidP="00094829">
      <w:pPr>
        <w:rPr>
          <w:szCs w:val="24"/>
        </w:rPr>
      </w:pPr>
      <w:r w:rsidRPr="00094829">
        <w:rPr>
          <w:szCs w:val="24"/>
        </w:rPr>
        <w:t>Su labor mantiene, asimismo, un vínculo sostenido con la Ciudad de Buenos Aires. Fue vicepresidente de la Sociedad Central de Arquitectos entre 2013 y 2019 y presidió su Comisión de Ejercicio Profesional entre 2010 y 2025. También fue consejero del Consejo Profesional de Arquitectura y Urbanismo (CPAU), institución en la que ha desarrollado actividades de consultoría y formación sobre herramientas normativas para el ejercicio profesional.</w:t>
      </w:r>
    </w:p>
    <w:p w:rsidR="00094829" w:rsidRPr="00094829" w:rsidRDefault="00094829" w:rsidP="00094829">
      <w:pPr>
        <w:rPr>
          <w:szCs w:val="24"/>
        </w:rPr>
      </w:pPr>
    </w:p>
    <w:p w:rsidR="00094829" w:rsidRDefault="00094829" w:rsidP="00094829">
      <w:pPr>
        <w:rPr>
          <w:szCs w:val="24"/>
        </w:rPr>
      </w:pPr>
      <w:r>
        <w:rPr>
          <w:szCs w:val="24"/>
        </w:rPr>
        <w:t>Que en</w:t>
      </w:r>
      <w:r w:rsidRPr="00094829">
        <w:rPr>
          <w:szCs w:val="24"/>
        </w:rPr>
        <w:t xml:space="preserve"> docencia universitaria, su trayectoria comprende la enseñanza de infraestructura y espacios deportivos en la UADE, de construcciones en la Facultad de Arquitectura, Diseño y Urbanismo de la Universidad de Buenos Aires y de codificación y seguridad en la Universidad de Palermo. A ello se suman conferencias en instituciones académicas y encuentros profesionales de la Argentina y del exterior, así como su participación en publicaciones especializadas.</w:t>
      </w:r>
    </w:p>
    <w:p w:rsidR="00094829" w:rsidRPr="00094829" w:rsidRDefault="00094829" w:rsidP="00094829">
      <w:pPr>
        <w:rPr>
          <w:szCs w:val="24"/>
        </w:rPr>
      </w:pPr>
    </w:p>
    <w:p w:rsidR="00094829" w:rsidRDefault="00094829" w:rsidP="00094829">
      <w:pPr>
        <w:rPr>
          <w:szCs w:val="24"/>
        </w:rPr>
      </w:pPr>
      <w:r>
        <w:rPr>
          <w:szCs w:val="24"/>
        </w:rPr>
        <w:t>Que e</w:t>
      </w:r>
      <w:r w:rsidRPr="00094829">
        <w:rPr>
          <w:szCs w:val="24"/>
        </w:rPr>
        <w:t>stos antecedentes permiten valorar su contribución al libro como parte de una labor sostenida de formación, asesoramiento y producción de conocimiento. La declaración de interés de la obra y el beneplácito por esta participación argentina reconocen un aporte concreto a la difusión de criterios de accesibilidad e inclusión, de especial relevancia para los espacios deportivos de nuestra Ciudad.</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 xml:space="preserve">Se declara de Interés de la Ciudad Autónoma de Buenos Aires para la Comunicación Social </w:t>
      </w:r>
      <w:r w:rsidR="00094829" w:rsidRPr="00094829">
        <w:rPr>
          <w:rFonts w:ascii="Times New Roman" w:hAnsi="Times New Roman" w:cs="Times New Roman"/>
          <w:sz w:val="24"/>
          <w:szCs w:val="24"/>
          <w:lang w:val="es-ES"/>
        </w:rPr>
        <w:t>la publicación “Espacios Activos: Llevando el legado hacia el futuro”</w:t>
      </w:r>
      <w:r w:rsidR="00094829">
        <w:rPr>
          <w:rFonts w:ascii="Times New Roman" w:hAnsi="Times New Roman" w:cs="Times New Roman"/>
          <w:sz w:val="24"/>
          <w:szCs w:val="24"/>
          <w:lang w:val="es-ES"/>
        </w:rPr>
        <w:t xml:space="preserve">, editada por la </w:t>
      </w:r>
      <w:r w:rsidR="00094829" w:rsidRPr="00094829">
        <w:rPr>
          <w:rFonts w:ascii="Times New Roman" w:hAnsi="Times New Roman" w:cs="Times New Roman"/>
          <w:sz w:val="24"/>
          <w:szCs w:val="24"/>
          <w:lang w:val="es-ES"/>
        </w:rPr>
        <w:t>Unión Internacional de Arquitectos</w:t>
      </w:r>
      <w:r w:rsidR="00BE686F">
        <w:rPr>
          <w:rFonts w:ascii="Times New Roman" w:hAnsi="Times New Roman" w:cs="Times New Roman"/>
          <w:sz w:val="24"/>
          <w:szCs w:val="24"/>
          <w:lang w:val="es-ES"/>
        </w:rPr>
        <w:t>, y</w:t>
      </w:r>
      <w:r w:rsidR="00094829">
        <w:rPr>
          <w:rFonts w:ascii="Times New Roman" w:hAnsi="Times New Roman" w:cs="Times New Roman"/>
          <w:sz w:val="24"/>
          <w:szCs w:val="24"/>
          <w:lang w:val="es-ES"/>
        </w:rPr>
        <w:t xml:space="preserve"> </w:t>
      </w:r>
      <w:r w:rsidR="00BE686F">
        <w:rPr>
          <w:rFonts w:ascii="Times New Roman" w:hAnsi="Times New Roman" w:cs="Times New Roman"/>
          <w:sz w:val="24"/>
          <w:szCs w:val="24"/>
          <w:lang w:val="es-ES"/>
        </w:rPr>
        <w:t>que cuenta</w:t>
      </w:r>
      <w:r w:rsidR="00094829" w:rsidRPr="00094829">
        <w:rPr>
          <w:rFonts w:ascii="Times New Roman" w:hAnsi="Times New Roman" w:cs="Times New Roman"/>
          <w:sz w:val="24"/>
          <w:szCs w:val="24"/>
          <w:lang w:val="es-ES"/>
        </w:rPr>
        <w:t xml:space="preserve"> con la participación del arquitecto argentino Agustín García Puga.</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lastRenderedPageBreak/>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0FE2" w:rsidRDefault="00280FE2">
      <w:r>
        <w:separator/>
      </w:r>
    </w:p>
  </w:endnote>
  <w:endnote w:type="continuationSeparator" w:id="0">
    <w:p w:rsidR="00280FE2" w:rsidRDefault="00280F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C7118" w:rsidRPr="00AC7118">
        <w:rPr>
          <w:noProof/>
          <w:color w:val="333333"/>
          <w:sz w:val="20"/>
        </w:rPr>
        <w:t>22/10/2026 15:25:00</w:t>
      </w:r>
    </w:fldSimple>
    <w:r w:rsidRPr="001C19C4">
      <w:rPr>
        <w:color w:val="333333"/>
        <w:sz w:val="20"/>
      </w:rPr>
      <w:t xml:space="preserve">  -  Cantidad de caracteres: </w:t>
    </w:r>
    <w:fldSimple w:instr=" NUMCHARS  \* MERGEFORMAT ">
      <w:r w:rsidR="00AC7118" w:rsidRPr="00AC7118">
        <w:rPr>
          <w:noProof/>
          <w:color w:val="333333"/>
          <w:sz w:val="20"/>
        </w:rPr>
        <w:t>4813</w:t>
      </w:r>
    </w:fldSimple>
    <w:r w:rsidRPr="001C19C4">
      <w:rPr>
        <w:color w:val="333333"/>
        <w:sz w:val="20"/>
      </w:rPr>
      <w:t xml:space="preserve"> - Cantidad de palabras: </w:t>
    </w:r>
    <w:fldSimple w:instr=" NUMWORDS  \* MERGEFORMAT ">
      <w:r w:rsidR="00AC7118" w:rsidRPr="00AC7118">
        <w:rPr>
          <w:noProof/>
          <w:color w:val="333333"/>
          <w:sz w:val="20"/>
        </w:rPr>
        <w:t>806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E06FF" w:rsidRPr="001C19C4">
      <w:rPr>
        <w:rStyle w:val="Nmerodepgina"/>
        <w:color w:val="333333"/>
      </w:rPr>
      <w:fldChar w:fldCharType="begin"/>
    </w:r>
    <w:r w:rsidRPr="001C19C4">
      <w:rPr>
        <w:rStyle w:val="Nmerodepgina"/>
        <w:color w:val="333333"/>
      </w:rPr>
      <w:instrText xml:space="preserve"> PAGE </w:instrText>
    </w:r>
    <w:r w:rsidR="00FE06FF" w:rsidRPr="001C19C4">
      <w:rPr>
        <w:rStyle w:val="Nmerodepgina"/>
        <w:color w:val="333333"/>
      </w:rPr>
      <w:fldChar w:fldCharType="separate"/>
    </w:r>
    <w:r w:rsidR="00AC7118">
      <w:rPr>
        <w:rStyle w:val="Nmerodepgina"/>
        <w:noProof/>
        <w:color w:val="333333"/>
      </w:rPr>
      <w:t>2</w:t>
    </w:r>
    <w:r w:rsidR="00FE06FF" w:rsidRPr="001C19C4">
      <w:rPr>
        <w:rStyle w:val="Nmerodepgina"/>
        <w:color w:val="333333"/>
      </w:rPr>
      <w:fldChar w:fldCharType="end"/>
    </w:r>
    <w:r w:rsidRPr="001C19C4">
      <w:rPr>
        <w:rStyle w:val="Nmerodepgina"/>
        <w:color w:val="333333"/>
      </w:rPr>
      <w:t>/</w:t>
    </w:r>
    <w:fldSimple w:instr=" NUMPAGES  \* MERGEFORMAT ">
      <w:r w:rsidR="00AC7118" w:rsidRPr="00AC7118">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0FE2" w:rsidRDefault="00280FE2">
      <w:r>
        <w:separator/>
      </w:r>
    </w:p>
  </w:footnote>
  <w:footnote w:type="continuationSeparator" w:id="0">
    <w:p w:rsidR="00280FE2" w:rsidRDefault="00280F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0530"/>
  </w:hdrShapeDefaults>
  <w:footnotePr>
    <w:footnote w:id="-1"/>
    <w:footnote w:id="0"/>
  </w:footnotePr>
  <w:endnotePr>
    <w:endnote w:id="-1"/>
    <w:endnote w:id="0"/>
  </w:endnotePr>
  <w:compat/>
  <w:rsids>
    <w:rsidRoot w:val="00103E94"/>
    <w:rsid w:val="00000813"/>
    <w:rsid w:val="000166AC"/>
    <w:rsid w:val="00026430"/>
    <w:rsid w:val="00030DF5"/>
    <w:rsid w:val="00031294"/>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4829"/>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6220D"/>
    <w:rsid w:val="00265972"/>
    <w:rsid w:val="00267F6B"/>
    <w:rsid w:val="00275865"/>
    <w:rsid w:val="00276A7E"/>
    <w:rsid w:val="00280FE2"/>
    <w:rsid w:val="0029271B"/>
    <w:rsid w:val="00296815"/>
    <w:rsid w:val="002971A4"/>
    <w:rsid w:val="00297AEF"/>
    <w:rsid w:val="002B22E8"/>
    <w:rsid w:val="002B44FB"/>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00D0"/>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C7118"/>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E686F"/>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864E8"/>
    <w:rsid w:val="00D927D4"/>
    <w:rsid w:val="00DD2795"/>
    <w:rsid w:val="00DD4DE2"/>
    <w:rsid w:val="00DD4FFC"/>
    <w:rsid w:val="00DD520D"/>
    <w:rsid w:val="00DE5364"/>
    <w:rsid w:val="00DF0164"/>
    <w:rsid w:val="00DF14A9"/>
    <w:rsid w:val="00DF54AA"/>
    <w:rsid w:val="00DF5561"/>
    <w:rsid w:val="00E027B5"/>
    <w:rsid w:val="00E05FD8"/>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E06FF"/>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0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AB13178-B95B-4B96-8A21-CD17E0647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12</TotalTime>
  <Pages>3</Pages>
  <Words>806</Words>
  <Characters>4813</Characters>
  <Application>Microsoft Office Word</Application>
  <DocSecurity>0</DocSecurity>
  <Lines>118</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6</cp:revision>
  <cp:lastPrinted>2020-02-28T17:24:00Z</cp:lastPrinted>
  <dcterms:created xsi:type="dcterms:W3CDTF">2026-10-22T18:11:00Z</dcterms:created>
  <dcterms:modified xsi:type="dcterms:W3CDTF">2026-10-22T18:29:00Z</dcterms:modified>
</cp:coreProperties>
</file>